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A30AA4" w:rsidP="000D0DB0">
      <w:pPr>
        <w:pStyle w:val="EC-Title-5"/>
        <w:rPr>
          <w:b w:val="0"/>
          <w:spacing w:val="-10"/>
          <w:sz w:val="24"/>
        </w:rPr>
      </w:pPr>
      <w:r w:rsidRPr="00A30AA4">
        <w:t>Europos Sąjungos sergančiųjų tuberkulioze priežiūros standartai. 2017 m. atnaujinta versija</w:t>
      </w:r>
    </w:p>
    <w:p w:rsidR="008745B1" w:rsidRPr="00A30AA4" w:rsidP="000D0DB0">
      <w:pPr>
        <w:autoSpaceDE w:val="0"/>
        <w:autoSpaceDN w:val="0"/>
        <w:adjustRightInd w:val="0"/>
        <w:spacing w:before="120" w:after="0"/>
        <w:jc w:val="both"/>
        <w:rPr>
          <w:rFonts w:ascii="Tahoma" w:hAnsi="Tahoma" w:cs="Tahoma"/>
          <w:sz w:val="18"/>
          <w:szCs w:val="18"/>
        </w:rPr>
      </w:pPr>
      <w:r w:rsidRPr="00A30AA4">
        <w:rPr>
          <w:rFonts w:ascii="Tahoma" w:hAnsi="Tahoma"/>
          <w:sz w:val="18"/>
        </w:rPr>
        <w:t>Europos ligų prevencijos ir kontrolės centras (</w:t>
      </w:r>
      <w:r w:rsidRPr="00A30AA4">
        <w:rPr>
          <w:rFonts w:ascii="Tahoma" w:hAnsi="Tahoma"/>
          <w:sz w:val="18"/>
        </w:rPr>
        <w:t>ECDC</w:t>
      </w:r>
      <w:r w:rsidRPr="00A30AA4">
        <w:rPr>
          <w:rFonts w:ascii="Tahoma" w:hAnsi="Tahoma"/>
          <w:sz w:val="18"/>
        </w:rPr>
        <w:t xml:space="preserve">) ir </w:t>
      </w:r>
      <w:r w:rsidRPr="00961EF7">
        <w:rPr>
          <w:rFonts w:ascii="Tahoma" w:hAnsi="Tahoma"/>
          <w:sz w:val="18"/>
        </w:rPr>
        <w:t xml:space="preserve">Europos </w:t>
      </w:r>
      <w:r w:rsidRPr="00961EF7">
        <w:rPr>
          <w:rFonts w:ascii="Tahoma" w:hAnsi="Tahoma"/>
          <w:sz w:val="18"/>
        </w:rPr>
        <w:t>respiratologų</w:t>
      </w:r>
      <w:r w:rsidRPr="00961EF7">
        <w:rPr>
          <w:rFonts w:ascii="Tahoma" w:hAnsi="Tahoma"/>
          <w:sz w:val="18"/>
        </w:rPr>
        <w:t xml:space="preserve"> draugija (ERS)</w:t>
      </w:r>
      <w:r w:rsidRPr="00A30AA4">
        <w:rPr>
          <w:rFonts w:ascii="Tahoma" w:hAnsi="Tahoma"/>
          <w:sz w:val="18"/>
        </w:rPr>
        <w:t xml:space="preserve"> parengė 21 į pacientus sutelktą standartą, kuriais savo darbe turėtų vadovautis gydytojai praktikai ir visuomenės sveikatos srities darbuotojai, siekdami optimaliai diagnozuoti tuberkuliozę, ją gydyti ir užtikrinti jos prevenciją Europoje. 2017 m. Europos</w:t>
      </w:r>
      <w:r w:rsidRPr="00A30AA4">
        <w:rPr>
          <w:rFonts w:ascii="Tahoma" w:hAnsi="Tahoma"/>
          <w:sz w:val="18"/>
        </w:rPr>
        <w:t xml:space="preserve"> Sąjungos sergančiųjų tuberkulioze priežiūros standartai (ESSTPS) buvo atnaujinti; į juos įtraukti naujausi technologiniai pokyčiai ir tarptautinės rekomendacijos dėl tuberkuliozės diagnozavimo, gydymo ir prevencijos.</w:t>
      </w:r>
    </w:p>
    <w:p w:rsidR="00E93802" w:rsidRPr="00A30AA4" w:rsidP="0028467E">
      <w:pPr>
        <w:pStyle w:val="EC-Title-6"/>
      </w:pPr>
      <w:bookmarkStart w:id="0" w:name="_Toc512588780"/>
      <w:r w:rsidRPr="00A30AA4">
        <w:t>Tuberkuliozės likvidavimo Europos Sąju</w:t>
      </w:r>
      <w:r w:rsidRPr="00A30AA4">
        <w:t>ngoje pažangai užtikrinti būtini aukštesni standartai</w:t>
      </w:r>
      <w:bookmarkEnd w:id="0"/>
    </w:p>
    <w:p w:rsidR="00083CEE" w:rsidRPr="00A30AA4" w:rsidP="00083CEE">
      <w:pPr>
        <w:pStyle w:val="EC-Title-7"/>
      </w:pPr>
      <w:r w:rsidRPr="00A30AA4">
        <w:t>Kodėl standartai pritaikyti ES poreikiams?</w:t>
      </w:r>
    </w:p>
    <w:p w:rsidR="008745B1" w:rsidRPr="00A30AA4" w:rsidP="000D0DB0">
      <w:pPr>
        <w:autoSpaceDE w:val="0"/>
        <w:autoSpaceDN w:val="0"/>
        <w:adjustRightInd w:val="0"/>
        <w:spacing w:after="120"/>
        <w:jc w:val="both"/>
        <w:rPr>
          <w:rFonts w:ascii="Tahoma" w:hAnsi="Tahoma" w:cs="Tahoma"/>
          <w:sz w:val="18"/>
          <w:szCs w:val="18"/>
        </w:rPr>
      </w:pPr>
      <w:r w:rsidRPr="00A30AA4">
        <w:rPr>
          <w:rFonts w:ascii="Tahoma" w:hAnsi="Tahoma"/>
          <w:sz w:val="18"/>
        </w:rPr>
        <w:t>Pirmąkart Tarptautiniai sergančiųjų tuberkulioze priežiūros standartai (TSTPS) buvo paskelbti 2006 m.; vėliau jie atnaujinti 2009 ir 2014 m. Tarptautiniuose st</w:t>
      </w:r>
      <w:r w:rsidRPr="00A30AA4">
        <w:rPr>
          <w:rFonts w:ascii="Tahoma" w:hAnsi="Tahoma"/>
          <w:sz w:val="18"/>
        </w:rPr>
        <w:t>andartuose aprašytas plačiai pripažįstamas sergančiųjų tuberkulioze priežiūros lygis; vis dėlto juose visas dėmesys sutelktas į mažas pajamas gaunančias šalis, kuriose didelis sergamumas tuberkulioze.</w:t>
      </w:r>
    </w:p>
    <w:p w:rsidR="008745B1" w:rsidRPr="00A30AA4" w:rsidP="000D0DB0">
      <w:pPr>
        <w:autoSpaceDE w:val="0"/>
        <w:autoSpaceDN w:val="0"/>
        <w:adjustRightInd w:val="0"/>
        <w:spacing w:after="120"/>
        <w:jc w:val="both"/>
        <w:rPr>
          <w:rFonts w:ascii="Tahoma" w:hAnsi="Tahoma" w:cs="Tahoma"/>
          <w:sz w:val="18"/>
          <w:szCs w:val="18"/>
        </w:rPr>
      </w:pPr>
      <w:r w:rsidRPr="00A30AA4">
        <w:rPr>
          <w:rFonts w:ascii="Tahoma" w:hAnsi="Tahoma"/>
          <w:sz w:val="18"/>
        </w:rPr>
        <w:t>Epidemiologinės aplinkybės ir finansinių išteklių priei</w:t>
      </w:r>
      <w:r w:rsidRPr="00A30AA4">
        <w:rPr>
          <w:rFonts w:ascii="Tahoma" w:hAnsi="Tahoma"/>
          <w:sz w:val="18"/>
        </w:rPr>
        <w:t>namumas ES ir (arba) EEE valstybėse</w:t>
      </w:r>
      <w:r w:rsidRPr="00A30AA4">
        <w:rPr>
          <w:rFonts w:ascii="Tahoma" w:hAnsi="Tahoma"/>
          <w:sz w:val="18"/>
        </w:rPr>
        <w:t>:</w:t>
      </w:r>
    </w:p>
    <w:p w:rsidR="00F03325" w:rsidRPr="009A7388"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A7388">
        <w:rPr>
          <w:rFonts w:ascii="Tahoma" w:hAnsi="Tahoma"/>
          <w:sz w:val="18"/>
        </w:rPr>
        <w:t>sergamumas tuberkulioze yra nedidelis arba vidutinis, bet netolygus;</w:t>
      </w:r>
    </w:p>
    <w:p w:rsidR="008745B1" w:rsidRPr="009A7388"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A7388">
        <w:rPr>
          <w:rFonts w:ascii="Tahoma" w:hAnsi="Tahoma"/>
          <w:sz w:val="18"/>
        </w:rPr>
        <w:t xml:space="preserve">šalyse yra </w:t>
      </w:r>
      <w:r w:rsidRPr="009A7388" w:rsidR="00676E25">
        <w:rPr>
          <w:rFonts w:ascii="Tahoma" w:hAnsi="Tahoma"/>
          <w:sz w:val="18"/>
        </w:rPr>
        <w:t>ilgametė tuberkuliozės prevencijos ir kontrolės tradicija;</w:t>
      </w:r>
    </w:p>
    <w:p w:rsidR="008745B1" w:rsidRPr="009A7388"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A7388">
        <w:rPr>
          <w:rFonts w:ascii="Tahoma" w:hAnsi="Tahoma"/>
          <w:sz w:val="18"/>
        </w:rPr>
        <w:t>yra reikiamų išteklių;</w:t>
      </w:r>
    </w:p>
    <w:p w:rsidR="008745B1" w:rsidRPr="009A7388"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A7388">
        <w:rPr>
          <w:rFonts w:ascii="Tahoma" w:hAnsi="Tahoma"/>
          <w:sz w:val="18"/>
        </w:rPr>
        <w:t xml:space="preserve">reikia užtikrinti optimalų šių išteklių </w:t>
      </w:r>
      <w:r w:rsidRPr="009A7388">
        <w:rPr>
          <w:rFonts w:ascii="Tahoma" w:hAnsi="Tahoma"/>
          <w:sz w:val="18"/>
        </w:rPr>
        <w:t>naudojimą;</w:t>
      </w:r>
    </w:p>
    <w:p w:rsidR="008745B1" w:rsidRPr="009A7388"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A7388">
        <w:rPr>
          <w:rFonts w:ascii="Tahoma" w:hAnsi="Tahoma"/>
          <w:sz w:val="18"/>
        </w:rPr>
        <w:t>su tuberkulioze susijusios paslaugos įtrauktos į sveikatos priežiūros sistemą;</w:t>
      </w:r>
    </w:p>
    <w:p w:rsidR="008745B1" w:rsidRPr="009A7388"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A7388">
        <w:rPr>
          <w:rFonts w:ascii="Tahoma" w:hAnsi="Tahoma"/>
          <w:sz w:val="18"/>
        </w:rPr>
        <w:t>kiekvienas pacientas turi teisę gauti kuo geresnę priežiūrą.</w:t>
      </w:r>
    </w:p>
    <w:p w:rsidR="008745B1" w:rsidRPr="00A30AA4" w:rsidP="0028467E">
      <w:pPr>
        <w:pStyle w:val="EC-Title-6"/>
        <w:rPr>
          <w:sz w:val="30"/>
          <w:szCs w:val="30"/>
        </w:rPr>
      </w:pPr>
      <w:r w:rsidRPr="00A30AA4">
        <w:rPr>
          <w:sz w:val="30"/>
        </w:rPr>
        <w:t>ESSTPS – gydytojams praktikams ir visuomenės sveikatos srities darbuotojams skirti į pacientus sutelkti s</w:t>
      </w:r>
      <w:r w:rsidRPr="00A30AA4">
        <w:rPr>
          <w:sz w:val="30"/>
        </w:rPr>
        <w:t>tandartai</w:t>
      </w:r>
    </w:p>
    <w:p w:rsidR="008745B1" w:rsidRPr="00A30AA4" w:rsidP="0028467E">
      <w:pPr>
        <w:pStyle w:val="EC-Title-7"/>
        <w:rPr>
          <w:rFonts w:eastAsia="Batang"/>
        </w:rPr>
      </w:pPr>
      <w:r w:rsidRPr="00A30AA4">
        <w:t>Kaip ESSTPS buvo parengti ir atnaujinti?</w:t>
      </w:r>
    </w:p>
    <w:p w:rsidR="008745B1" w:rsidRPr="00A30AA4" w:rsidP="008745B1">
      <w:pPr>
        <w:autoSpaceDE w:val="0"/>
        <w:autoSpaceDN w:val="0"/>
        <w:adjustRightInd w:val="0"/>
        <w:spacing w:after="0"/>
        <w:jc w:val="both"/>
        <w:rPr>
          <w:rFonts w:ascii="Tahoma" w:hAnsi="Tahoma" w:cs="Tahoma"/>
          <w:sz w:val="18"/>
          <w:szCs w:val="18"/>
        </w:rPr>
      </w:pPr>
      <w:r w:rsidRPr="00A30AA4">
        <w:rPr>
          <w:rFonts w:ascii="Tahoma" w:hAnsi="Tahoma"/>
          <w:sz w:val="18"/>
        </w:rPr>
        <w:t xml:space="preserve">Įgyvendinant šį bendradarbiavimo projektą, ERS ėmėsi iniciatyvos parengti ir atnaujinti su klinikine praktika susijusius standartus, o </w:t>
      </w:r>
      <w:r w:rsidRPr="00A30AA4">
        <w:rPr>
          <w:rFonts w:ascii="Tahoma" w:hAnsi="Tahoma"/>
          <w:sz w:val="18"/>
        </w:rPr>
        <w:t xml:space="preserve">ECDC </w:t>
      </w:r>
      <w:r w:rsidRPr="00A30AA4">
        <w:rPr>
          <w:rFonts w:ascii="Tahoma" w:hAnsi="Tahoma"/>
          <w:sz w:val="18"/>
        </w:rPr>
        <w:t>parengė ir atnaujino su visuomenės sveikata susijusius stan</w:t>
      </w:r>
      <w:r w:rsidRPr="00A30AA4">
        <w:rPr>
          <w:rFonts w:ascii="Tahoma" w:hAnsi="Tahoma"/>
          <w:sz w:val="18"/>
        </w:rPr>
        <w:t>dartus. Rengiant ir atnaujinant šiuos standartus, vadovavo specialios paskirties grupė, sudaryta iš tarptautinių ekspertų, atstovaujančių įvairioms kompetencijos sritims, organizacijoms ir tuberkulioze sergančių pacientų atstovams. Duomenys buvo peržiūrėti</w:t>
      </w:r>
      <w:r w:rsidRPr="00A30AA4">
        <w:rPr>
          <w:rFonts w:ascii="Tahoma" w:hAnsi="Tahoma"/>
          <w:sz w:val="18"/>
        </w:rPr>
        <w:t>, atsižvelgiant į paskelbtas tarptautines gaires. Dokumentų rengimo komitetas parengė dokumentą, kuris vėliau buvo peržiūrėtas ir patvirtintas specialios paskirties grupėje. ESSTPS buvo parengti ir atnaujinti siekiant papildyti TSTPS ir kitas esamas gaires</w:t>
      </w:r>
      <w:r w:rsidRPr="00A30AA4">
        <w:rPr>
          <w:rFonts w:ascii="Tahoma" w:hAnsi="Tahoma"/>
          <w:sz w:val="18"/>
        </w:rPr>
        <w:t xml:space="preserve">. </w:t>
      </w:r>
    </w:p>
    <w:p w:rsidR="008745B1" w:rsidRPr="00A30AA4" w:rsidP="000D0DB0">
      <w:pPr>
        <w:pStyle w:val="EC-Title-5"/>
        <w:spacing w:before="120"/>
        <w:rPr>
          <w:b w:val="0"/>
        </w:rPr>
      </w:pPr>
      <w:r w:rsidRPr="00A30AA4">
        <w:t>Paprasta</w:t>
      </w:r>
      <w:r w:rsidRPr="00A30AA4">
        <w:t xml:space="preserve"> naudoti išteklius optimaliam tuberkuliozės diagnozavimui, gydymui ir prevencijai užtikrinti</w:t>
      </w:r>
    </w:p>
    <w:p w:rsidR="008745B1" w:rsidRPr="00A30AA4" w:rsidP="000D0DB0">
      <w:pPr>
        <w:pStyle w:val="EC-Title-6"/>
        <w:spacing w:after="0"/>
        <w:rPr>
          <w:b w:val="0"/>
        </w:rPr>
      </w:pPr>
      <w:r w:rsidRPr="00A30AA4">
        <w:t>Sprendimo parengti ESSTPS loginis pagrindas</w:t>
      </w:r>
    </w:p>
    <w:p w:rsidR="008745B1" w:rsidRPr="00A30AA4" w:rsidP="008745B1">
      <w:pPr>
        <w:autoSpaceDE w:val="0"/>
        <w:autoSpaceDN w:val="0"/>
        <w:adjustRightInd w:val="0"/>
        <w:spacing w:after="0"/>
        <w:jc w:val="both"/>
        <w:rPr>
          <w:rFonts w:ascii="Tahoma" w:hAnsi="Tahoma" w:cs="Tahoma"/>
          <w:sz w:val="18"/>
          <w:szCs w:val="18"/>
        </w:rPr>
      </w:pPr>
      <w:r w:rsidRPr="00A30AA4">
        <w:rPr>
          <w:rFonts w:ascii="Tahoma" w:hAnsi="Tahoma"/>
          <w:sz w:val="18"/>
        </w:rPr>
        <w:t xml:space="preserve">Europos Sąjungos sergančiųjų tuberkulioze priežiūros standartais (ESSTPS) siekiama užpildyti esamas žinių apie </w:t>
      </w:r>
      <w:r w:rsidRPr="00A30AA4">
        <w:rPr>
          <w:rFonts w:ascii="Tahoma" w:hAnsi="Tahoma"/>
          <w:sz w:val="18"/>
        </w:rPr>
        <w:t xml:space="preserve">tuberkuliozės gydymo ES ir (arba) EEE </w:t>
      </w:r>
      <w:r w:rsidRPr="00A30AA4">
        <w:rPr>
          <w:rFonts w:ascii="Tahoma" w:hAnsi="Tahoma"/>
          <w:sz w:val="18"/>
        </w:rPr>
        <w:t xml:space="preserve">spragas. </w:t>
      </w:r>
    </w:p>
    <w:p w:rsidR="008745B1" w:rsidRPr="00A30AA4" w:rsidP="008745B1">
      <w:pPr>
        <w:autoSpaceDE w:val="0"/>
        <w:autoSpaceDN w:val="0"/>
        <w:adjustRightInd w:val="0"/>
        <w:spacing w:after="0"/>
        <w:jc w:val="both"/>
        <w:rPr>
          <w:rFonts w:ascii="Tahoma" w:hAnsi="Tahoma" w:cs="Tahoma"/>
          <w:sz w:val="18"/>
          <w:szCs w:val="18"/>
        </w:rPr>
      </w:pPr>
      <w:r w:rsidRPr="00A30AA4">
        <w:rPr>
          <w:rFonts w:ascii="Tahoma" w:hAnsi="Tahoma"/>
          <w:sz w:val="18"/>
        </w:rPr>
        <w:t>ESSTPS paskirtis – pateikti visuomenės sveikatos srities ekspertams, gydytojams</w:t>
      </w:r>
      <w:r w:rsidRPr="00A30AA4">
        <w:rPr>
          <w:rFonts w:ascii="Tahoma" w:hAnsi="Tahoma"/>
          <w:sz w:val="18"/>
        </w:rPr>
        <w:t xml:space="preserve"> praktikams ir sveikatos priežiūros programas vykdantiems asmenims struktūriškai suskirstytą įrodymais grindžiamų standartų, kuriuose aprašyti būtiniausi reikalavimai, padedantys užtikrinti optimalią sergančiųjų tuberkulioze priežiūrą, rinkinį.</w:t>
      </w:r>
    </w:p>
    <w:p w:rsidR="008745B1" w:rsidRPr="00A30AA4" w:rsidP="000D0DB0">
      <w:pPr>
        <w:pStyle w:val="EC-Title-5"/>
        <w:spacing w:before="120"/>
        <w:rPr>
          <w:b w:val="0"/>
        </w:rPr>
      </w:pPr>
      <w:r w:rsidRPr="00A30AA4">
        <w:t>Daugiau inf</w:t>
      </w:r>
      <w:r w:rsidRPr="00A30AA4">
        <w:t>ormacijos</w:t>
      </w:r>
    </w:p>
    <w:p w:rsidR="008745B1" w:rsidRPr="00A30AA4" w:rsidP="000D0DB0">
      <w:pPr>
        <w:autoSpaceDE w:val="0"/>
        <w:autoSpaceDN w:val="0"/>
        <w:adjustRightInd w:val="0"/>
        <w:spacing w:before="120" w:after="120"/>
        <w:jc w:val="both"/>
        <w:rPr>
          <w:rFonts w:ascii="Tahoma" w:hAnsi="Tahoma" w:cs="Tahoma"/>
          <w:sz w:val="18"/>
          <w:szCs w:val="18"/>
        </w:rPr>
      </w:pPr>
      <w:r w:rsidRPr="00A30AA4">
        <w:rPr>
          <w:rFonts w:ascii="Tahoma" w:hAnsi="Tahoma"/>
          <w:sz w:val="18"/>
        </w:rPr>
        <w:t xml:space="preserve">ECDC </w:t>
      </w:r>
      <w:r w:rsidRPr="00A30AA4">
        <w:rPr>
          <w:rFonts w:ascii="Tahoma" w:hAnsi="Tahoma"/>
          <w:sz w:val="18"/>
        </w:rPr>
        <w:t>yra ES agentūra, įpareigota nustatyti ir vertinti infekcinių ligų keliamą grėsmę visuomenės sveikatai ir apie ją informuoti. Ši agentūra remia ES ir (arba) EEE valstybių narių visuomenės sveikatos institucijų veiklą.</w:t>
      </w:r>
    </w:p>
    <w:p w:rsidR="008745B1" w:rsidRPr="00A30AA4" w:rsidP="008745B1">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Pr="00A30AA4" w:rsidR="00676E25">
        <w:rPr>
          <w:rStyle w:val="Hyperlink"/>
          <w:rFonts w:ascii="Tahoma" w:hAnsi="Tahoma"/>
          <w:sz w:val="18"/>
        </w:rPr>
        <w:t>www.ecdc.europa.eu/en/tuberculosis</w:t>
      </w:r>
      <w:r>
        <w:fldChar w:fldCharType="end"/>
      </w:r>
    </w:p>
    <w:p w:rsidR="008745B1" w:rsidRPr="00A30AA4" w:rsidP="000D0DB0">
      <w:pPr>
        <w:autoSpaceDE w:val="0"/>
        <w:autoSpaceDN w:val="0"/>
        <w:adjustRightInd w:val="0"/>
        <w:spacing w:after="120"/>
        <w:jc w:val="both"/>
        <w:rPr>
          <w:rFonts w:ascii="Tahoma" w:hAnsi="Tahoma" w:cs="Tahoma"/>
          <w:sz w:val="18"/>
          <w:szCs w:val="18"/>
        </w:rPr>
      </w:pPr>
      <w:r w:rsidRPr="00A30AA4">
        <w:rPr>
          <w:rFonts w:ascii="Tahoma" w:hAnsi="Tahoma"/>
          <w:sz w:val="18"/>
        </w:rPr>
        <w:t>ERS yra Europoje svarbiausia savo srities specialistų organizacija. Ji vienija per 30 000 narių iš daugiau kaip 160 valstybių. ERS siekia, vykdydama mokslinius tyrimus, dalydamasi ž</w:t>
      </w:r>
      <w:r w:rsidRPr="00A30AA4">
        <w:rPr>
          <w:rFonts w:ascii="Tahoma" w:hAnsi="Tahoma"/>
          <w:sz w:val="18"/>
        </w:rPr>
        <w:t>iniomis ir šviesdama medicinos srities darbuotojus bei visuomenę, palengvinti kvėpavimo sistemos ligomis sergančių pacientų kančias ir skatinti gerą plaučių sveikatos būklę.</w:t>
      </w:r>
    </w:p>
    <w:p w:rsidR="008745B1" w:rsidRPr="00A30AA4" w:rsidP="008745B1">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bookmarkStart w:id="1" w:name="_GoBack"/>
      <w:bookmarkEnd w:id="1"/>
      <w:r>
        <w:fldChar w:fldCharType="separate"/>
      </w:r>
      <w:r w:rsidRPr="00A30AA4" w:rsidR="00676E25">
        <w:rPr>
          <w:rStyle w:val="Hyperlink"/>
          <w:rFonts w:ascii="Tahoma" w:hAnsi="Tahoma"/>
          <w:sz w:val="18"/>
        </w:rPr>
        <w:t>www.ersnet.org</w:t>
      </w:r>
      <w:r>
        <w:fldChar w:fldCharType="end"/>
      </w:r>
    </w:p>
    <w:p w:rsidR="008745B1" w:rsidRPr="00A30AA4" w:rsidP="008745B1">
      <w:pPr>
        <w:autoSpaceDE w:val="0"/>
        <w:autoSpaceDN w:val="0"/>
        <w:adjustRightInd w:val="0"/>
        <w:spacing w:after="0"/>
        <w:jc w:val="both"/>
        <w:rPr>
          <w:rFonts w:ascii="Tahoma" w:hAnsi="Tahoma" w:cs="Tahoma"/>
          <w:sz w:val="18"/>
          <w:szCs w:val="18"/>
        </w:rPr>
      </w:pPr>
      <w:r w:rsidRPr="00A30AA4">
        <w:rPr>
          <w:rFonts w:ascii="Tahoma" w:hAnsi="Tahoma"/>
          <w:sz w:val="18"/>
        </w:rPr>
        <w:t>Išsami ESSTPS atnaujinta ver</w:t>
      </w:r>
      <w:r w:rsidRPr="00A30AA4">
        <w:rPr>
          <w:rFonts w:ascii="Tahoma" w:hAnsi="Tahoma"/>
          <w:sz w:val="18"/>
        </w:rPr>
        <w:t xml:space="preserve">sija paskelbta Europos </w:t>
      </w:r>
      <w:r w:rsidRPr="00961EF7">
        <w:rPr>
          <w:rFonts w:ascii="Tahoma" w:hAnsi="Tahoma"/>
          <w:sz w:val="18"/>
        </w:rPr>
        <w:t>respiratologų</w:t>
      </w:r>
      <w:r w:rsidRPr="00A30AA4">
        <w:rPr>
          <w:rFonts w:ascii="Tahoma" w:hAnsi="Tahoma"/>
          <w:sz w:val="18"/>
        </w:rPr>
        <w:t xml:space="preserve"> žurnale, 2018 m. gegužės mėn. (DOI: 10.1183/13993003.02678-2017)</w:t>
      </w:r>
    </w:p>
    <w:p w:rsidR="00792C6D" w:rsidRPr="00A30AA4">
      <w:pPr>
        <w:spacing w:after="160" w:line="259" w:lineRule="auto"/>
        <w:rPr>
          <w:rFonts w:ascii="Times New Roman" w:hAnsi="Times New Roman"/>
          <w:sz w:val="24"/>
          <w:szCs w:val="24"/>
        </w:rPr>
      </w:pPr>
      <w:r w:rsidRPr="00A30AA4">
        <w:br w:type="page"/>
      </w:r>
    </w:p>
    <w:p w:rsidR="00CC0F38" w:rsidRPr="00A30AA4" w:rsidP="0028467E">
      <w:pPr>
        <w:pStyle w:val="EC-Title-5"/>
        <w:spacing w:after="240"/>
      </w:pPr>
      <w:r w:rsidRPr="00A30AA4">
        <w:t>Tuberkuliozės diagnozavimo standartai</w:t>
      </w:r>
    </w:p>
    <w:p w:rsidR="00DA3A70" w:rsidRPr="00A30AA4" w:rsidP="00A82B43">
      <w:pPr>
        <w:shd w:val="clear" w:color="auto" w:fill="D9D9D9"/>
        <w:autoSpaceDE w:val="0"/>
        <w:autoSpaceDN w:val="0"/>
        <w:adjustRightInd w:val="0"/>
        <w:spacing w:after="0"/>
        <w:jc w:val="both"/>
        <w:rPr>
          <w:rFonts w:ascii="Tahoma" w:hAnsi="Tahoma" w:cs="Tahoma"/>
          <w:b/>
          <w:sz w:val="24"/>
          <w:szCs w:val="24"/>
        </w:rPr>
      </w:pPr>
      <w:r w:rsidRPr="00A30AA4">
        <w:rPr>
          <w:rFonts w:ascii="Tahoma" w:hAnsi="Tahoma"/>
          <w:b/>
          <w:sz w:val="24"/>
        </w:rPr>
        <w:t>1 standartas</w:t>
      </w:r>
    </w:p>
    <w:p w:rsidR="00DA3A70" w:rsidRPr="00A30AA4" w:rsidP="0028467E">
      <w:pPr>
        <w:spacing w:after="120"/>
        <w:rPr>
          <w:rFonts w:ascii="Tahoma" w:hAnsi="Tahoma" w:cs="Tahoma"/>
          <w:sz w:val="18"/>
          <w:szCs w:val="18"/>
        </w:rPr>
      </w:pPr>
      <w:r w:rsidRPr="00A30AA4">
        <w:rPr>
          <w:rFonts w:ascii="Tahoma" w:hAnsi="Tahoma"/>
          <w:sz w:val="18"/>
        </w:rPr>
        <w:t xml:space="preserve">Visus asmenis, kuriems pasireiškia tuberkuliozės požymiai ar simptomai arba praeityje buvo nustatyti </w:t>
      </w:r>
      <w:r w:rsidRPr="00A30AA4">
        <w:rPr>
          <w:rFonts w:ascii="Tahoma" w:hAnsi="Tahoma"/>
          <w:sz w:val="18"/>
        </w:rPr>
        <w:t xml:space="preserve">tam tikri su tuberkulioze siejami sveikatos sutrikimai arba rizikos veiksniai, reikėtų įvertinti dėl plaučių ir (arba) </w:t>
      </w:r>
      <w:r w:rsidRPr="00A30AA4">
        <w:rPr>
          <w:rFonts w:ascii="Tahoma" w:hAnsi="Tahoma"/>
          <w:sz w:val="18"/>
        </w:rPr>
        <w:t>ekstrapulmoninės</w:t>
      </w:r>
      <w:r w:rsidRPr="00A30AA4">
        <w:rPr>
          <w:rFonts w:ascii="Tahoma" w:hAnsi="Tahoma"/>
          <w:sz w:val="18"/>
        </w:rPr>
        <w:t xml:space="preserve"> (ne plaučių) tuberkuliozės.</w:t>
      </w:r>
    </w:p>
    <w:p w:rsidR="00DA3A70" w:rsidRPr="00A30AA4" w:rsidP="00A82B43">
      <w:pPr>
        <w:shd w:val="clear" w:color="auto" w:fill="D9D9D9"/>
        <w:autoSpaceDE w:val="0"/>
        <w:autoSpaceDN w:val="0"/>
        <w:adjustRightInd w:val="0"/>
        <w:spacing w:after="0"/>
        <w:jc w:val="both"/>
        <w:rPr>
          <w:rFonts w:ascii="Tahoma" w:hAnsi="Tahoma" w:cs="Tahoma"/>
          <w:sz w:val="24"/>
          <w:szCs w:val="24"/>
        </w:rPr>
      </w:pPr>
      <w:r w:rsidRPr="00A30AA4">
        <w:rPr>
          <w:rFonts w:ascii="Tahoma" w:hAnsi="Tahoma"/>
          <w:b/>
          <w:sz w:val="24"/>
        </w:rPr>
        <w:t>2 standartas</w:t>
      </w:r>
    </w:p>
    <w:p w:rsidR="00DA3A70" w:rsidRPr="00A30AA4" w:rsidP="0028467E">
      <w:pPr>
        <w:spacing w:after="120"/>
        <w:rPr>
          <w:rFonts w:ascii="Tahoma" w:hAnsi="Tahoma" w:cs="Tahoma"/>
          <w:sz w:val="18"/>
          <w:szCs w:val="18"/>
        </w:rPr>
      </w:pPr>
      <w:r w:rsidRPr="00A30AA4">
        <w:rPr>
          <w:rFonts w:ascii="Tahoma" w:hAnsi="Tahoma"/>
          <w:sz w:val="18"/>
        </w:rPr>
        <w:t>Visi pacientai (suaugusieji, paaugliai ir vaikai, kurie gali atkosėti skreplių)</w:t>
      </w:r>
      <w:r w:rsidRPr="00A30AA4">
        <w:rPr>
          <w:rFonts w:ascii="Tahoma" w:hAnsi="Tahoma"/>
          <w:sz w:val="18"/>
        </w:rPr>
        <w:t>, kuriems įtariama plaučių tuberkulioz</w:t>
      </w:r>
      <w:r w:rsidR="00C02C43">
        <w:rPr>
          <w:rFonts w:ascii="Tahoma" w:hAnsi="Tahoma"/>
          <w:sz w:val="18"/>
        </w:rPr>
        <w:t>ė</w:t>
      </w:r>
      <w:r w:rsidRPr="00A30AA4">
        <w:rPr>
          <w:rFonts w:ascii="Tahoma" w:hAnsi="Tahoma"/>
          <w:sz w:val="18"/>
        </w:rPr>
        <w:t>, turėtų pateikti bent du skreplių mėginius mikroskopiniam tyrimui ir vieną mėginį – greitie</w:t>
      </w:r>
      <w:r w:rsidR="00C02C43">
        <w:rPr>
          <w:rFonts w:ascii="Tahoma" w:hAnsi="Tahoma"/>
          <w:sz w:val="18"/>
        </w:rPr>
        <w:t>sie</w:t>
      </w:r>
      <w:r w:rsidRPr="00A30AA4">
        <w:rPr>
          <w:rFonts w:ascii="Tahoma" w:hAnsi="Tahoma"/>
          <w:sz w:val="18"/>
        </w:rPr>
        <w:t>ms tyrimams, kad būtų galima nustatyti tuberkuliozę ir bakterijų atsparumą vaistams, naudojant tarptautiniu lygmeniu reko</w:t>
      </w:r>
      <w:r w:rsidRPr="00A30AA4">
        <w:rPr>
          <w:rFonts w:ascii="Tahoma" w:hAnsi="Tahoma"/>
          <w:sz w:val="18"/>
        </w:rPr>
        <w:t>menduojamą (greitą</w:t>
      </w:r>
      <w:r w:rsidR="00C02C43">
        <w:rPr>
          <w:rFonts w:ascii="Tahoma" w:hAnsi="Tahoma"/>
          <w:sz w:val="18"/>
        </w:rPr>
        <w:t>jį</w:t>
      </w:r>
      <w:r w:rsidRPr="00A30AA4">
        <w:rPr>
          <w:rFonts w:ascii="Tahoma" w:hAnsi="Tahoma"/>
          <w:sz w:val="18"/>
        </w:rPr>
        <w:t xml:space="preserve">) molekulinį testą. Mėginį reikėtų nusiųsti pasėlio tyrimui skystoje terpėje ir, jeigu tyrimo rezultatas būtų teigiamas, – bakterijų jautrumo vaistams tyrimui (JVT) </w:t>
      </w:r>
      <w:r w:rsidRPr="00A30AA4">
        <w:rPr>
          <w:rFonts w:ascii="Tahoma" w:hAnsi="Tahoma"/>
          <w:sz w:val="18"/>
        </w:rPr>
        <w:t>mitybinėje</w:t>
      </w:r>
      <w:r w:rsidRPr="00A30AA4">
        <w:rPr>
          <w:rFonts w:ascii="Tahoma" w:hAnsi="Tahoma"/>
          <w:sz w:val="18"/>
        </w:rPr>
        <w:t xml:space="preserve"> terpėje užtikrintos kokybės paslaugas teikiančioje laborator</w:t>
      </w:r>
      <w:r w:rsidRPr="00A30AA4">
        <w:rPr>
          <w:rFonts w:ascii="Tahoma" w:hAnsi="Tahoma"/>
          <w:sz w:val="18"/>
        </w:rPr>
        <w:t xml:space="preserve">ijoje. Esant galimybei, reikėtų paimti bent vieną ankstyvo ryto skreplių mėginį. Taip pat galima atlikti krūtinės ląstos </w:t>
      </w:r>
      <w:r w:rsidRPr="00A30AA4">
        <w:rPr>
          <w:rFonts w:ascii="Tahoma" w:hAnsi="Tahoma"/>
          <w:sz w:val="18"/>
        </w:rPr>
        <w:t>radiografinį</w:t>
      </w:r>
      <w:r w:rsidRPr="00A30AA4">
        <w:rPr>
          <w:rFonts w:ascii="Tahoma" w:hAnsi="Tahoma"/>
          <w:sz w:val="18"/>
        </w:rPr>
        <w:t xml:space="preserve"> tyrimą.</w:t>
      </w:r>
    </w:p>
    <w:p w:rsidR="00DA3A70" w:rsidRPr="00A30AA4" w:rsidP="00A82B43">
      <w:pPr>
        <w:shd w:val="clear" w:color="auto" w:fill="D9D9D9"/>
        <w:autoSpaceDE w:val="0"/>
        <w:autoSpaceDN w:val="0"/>
        <w:adjustRightInd w:val="0"/>
        <w:spacing w:after="0"/>
        <w:jc w:val="both"/>
        <w:rPr>
          <w:rFonts w:ascii="Tahoma" w:hAnsi="Tahoma" w:cs="Tahoma"/>
          <w:b/>
          <w:sz w:val="24"/>
          <w:szCs w:val="24"/>
        </w:rPr>
      </w:pPr>
      <w:r w:rsidRPr="00A30AA4">
        <w:rPr>
          <w:rFonts w:ascii="Tahoma" w:hAnsi="Tahoma"/>
          <w:b/>
          <w:sz w:val="24"/>
        </w:rPr>
        <w:t>3 standartas</w:t>
      </w:r>
    </w:p>
    <w:p w:rsidR="00DA3A70" w:rsidRPr="00A30AA4" w:rsidP="0028467E">
      <w:pPr>
        <w:spacing w:after="120"/>
        <w:rPr>
          <w:rFonts w:ascii="Tahoma" w:hAnsi="Tahoma" w:cs="Tahoma"/>
          <w:sz w:val="18"/>
          <w:szCs w:val="18"/>
        </w:rPr>
      </w:pPr>
      <w:r w:rsidRPr="00A30AA4">
        <w:rPr>
          <w:rFonts w:ascii="Tahoma" w:hAnsi="Tahoma"/>
          <w:sz w:val="18"/>
        </w:rPr>
        <w:t xml:space="preserve">Iš visų pacientų (suaugusiųjų, paauglių ir vaikų), kuriems įtariama </w:t>
      </w:r>
      <w:r w:rsidRPr="00A30AA4">
        <w:rPr>
          <w:rFonts w:ascii="Tahoma" w:hAnsi="Tahoma"/>
          <w:sz w:val="18"/>
        </w:rPr>
        <w:t>ekstrapulmoninė</w:t>
      </w:r>
      <w:r w:rsidRPr="00A30AA4">
        <w:rPr>
          <w:rFonts w:ascii="Tahoma" w:hAnsi="Tahoma"/>
          <w:sz w:val="18"/>
        </w:rPr>
        <w:t xml:space="preserve"> tuberkuliozė, iš </w:t>
      </w:r>
      <w:r w:rsidRPr="00A30AA4">
        <w:rPr>
          <w:rFonts w:ascii="Tahoma" w:hAnsi="Tahoma"/>
          <w:sz w:val="18"/>
        </w:rPr>
        <w:t>tariamai ligos pažeistų vietų reikėtų paimti atitinkamus mėginius mikrobiologiniams tyrimams (mikroskopijai, greitie</w:t>
      </w:r>
      <w:r w:rsidR="00C02C43">
        <w:rPr>
          <w:rFonts w:ascii="Tahoma" w:hAnsi="Tahoma"/>
          <w:sz w:val="18"/>
        </w:rPr>
        <w:t>sie</w:t>
      </w:r>
      <w:r w:rsidRPr="00A30AA4">
        <w:rPr>
          <w:rFonts w:ascii="Tahoma" w:hAnsi="Tahoma"/>
          <w:sz w:val="18"/>
        </w:rPr>
        <w:t xml:space="preserve">ms molekuliniams testams, tyrimams </w:t>
      </w:r>
      <w:r w:rsidRPr="00A30AA4">
        <w:rPr>
          <w:rFonts w:ascii="Tahoma" w:hAnsi="Tahoma"/>
          <w:sz w:val="18"/>
        </w:rPr>
        <w:t>mitybinėje</w:t>
      </w:r>
      <w:r w:rsidRPr="00A30AA4">
        <w:rPr>
          <w:rFonts w:ascii="Tahoma" w:hAnsi="Tahoma"/>
          <w:sz w:val="18"/>
        </w:rPr>
        <w:t xml:space="preserve"> terpėje, padermės nustatymo tyrimui, JVT naudojant greit</w:t>
      </w:r>
      <w:r w:rsidR="00C02C43">
        <w:rPr>
          <w:rFonts w:ascii="Tahoma" w:hAnsi="Tahoma"/>
          <w:sz w:val="18"/>
        </w:rPr>
        <w:t>uosi</w:t>
      </w:r>
      <w:r w:rsidRPr="00A30AA4">
        <w:rPr>
          <w:rFonts w:ascii="Tahoma" w:hAnsi="Tahoma"/>
          <w:sz w:val="18"/>
        </w:rPr>
        <w:t>us molekulinius testus ir tyrim</w:t>
      </w:r>
      <w:r w:rsidRPr="00A30AA4">
        <w:rPr>
          <w:rFonts w:ascii="Tahoma" w:hAnsi="Tahoma"/>
          <w:sz w:val="18"/>
        </w:rPr>
        <w:t xml:space="preserve">o </w:t>
      </w:r>
      <w:r w:rsidRPr="00A30AA4">
        <w:rPr>
          <w:rFonts w:ascii="Tahoma" w:hAnsi="Tahoma"/>
          <w:sz w:val="18"/>
        </w:rPr>
        <w:t>mitybinėje</w:t>
      </w:r>
      <w:r w:rsidRPr="00A30AA4">
        <w:rPr>
          <w:rFonts w:ascii="Tahoma" w:hAnsi="Tahoma"/>
          <w:sz w:val="18"/>
        </w:rPr>
        <w:t xml:space="preserve"> terpėje metodus) ir </w:t>
      </w:r>
      <w:r w:rsidRPr="00A30AA4">
        <w:rPr>
          <w:rFonts w:ascii="Tahoma" w:hAnsi="Tahoma"/>
          <w:sz w:val="18"/>
        </w:rPr>
        <w:t>histopatologiniam</w:t>
      </w:r>
      <w:r w:rsidRPr="00A30AA4">
        <w:rPr>
          <w:rFonts w:ascii="Tahoma" w:hAnsi="Tahoma"/>
          <w:sz w:val="18"/>
        </w:rPr>
        <w:t xml:space="preserve"> tyrimui užtikrintos kokybės paslaugas teikiančioje laboratorijoje. </w:t>
      </w:r>
    </w:p>
    <w:p w:rsidR="00CC0F38" w:rsidRPr="00A30AA4" w:rsidP="00CC0F38">
      <w:pPr>
        <w:shd w:val="clear" w:color="auto" w:fill="D9D9D9"/>
        <w:autoSpaceDE w:val="0"/>
        <w:autoSpaceDN w:val="0"/>
        <w:adjustRightInd w:val="0"/>
        <w:spacing w:after="0"/>
        <w:jc w:val="both"/>
        <w:rPr>
          <w:rFonts w:ascii="Tahoma" w:hAnsi="Tahoma" w:cs="Tahoma"/>
          <w:b/>
          <w:sz w:val="24"/>
          <w:szCs w:val="24"/>
        </w:rPr>
      </w:pPr>
      <w:r w:rsidRPr="00A30AA4">
        <w:rPr>
          <w:rFonts w:ascii="Tahoma" w:hAnsi="Tahoma"/>
          <w:b/>
          <w:sz w:val="24"/>
        </w:rPr>
        <w:t>4 standartas</w:t>
      </w:r>
    </w:p>
    <w:p w:rsidR="00DA3A70" w:rsidRPr="00A30AA4" w:rsidP="0028467E">
      <w:pPr>
        <w:spacing w:after="120"/>
        <w:rPr>
          <w:rFonts w:ascii="Tahoma" w:hAnsi="Tahoma" w:cs="Tahoma"/>
          <w:sz w:val="18"/>
          <w:szCs w:val="18"/>
        </w:rPr>
      </w:pPr>
      <w:r w:rsidRPr="00A30AA4">
        <w:rPr>
          <w:rFonts w:ascii="Tahoma" w:hAnsi="Tahoma"/>
          <w:sz w:val="18"/>
        </w:rPr>
        <w:t>Visi asmenys, kurių krūtinės ląstos rentgenogramoje matomi plaučių tuberkuliozės požymiai, turėtų pateikti skreplių mėginius</w:t>
      </w:r>
      <w:r w:rsidRPr="00A30AA4">
        <w:rPr>
          <w:rFonts w:ascii="Tahoma" w:hAnsi="Tahoma"/>
          <w:sz w:val="18"/>
        </w:rPr>
        <w:t xml:space="preserve"> mikroskopiniam tyrimui, greitie</w:t>
      </w:r>
      <w:r w:rsidR="00C02C43">
        <w:rPr>
          <w:rFonts w:ascii="Tahoma" w:hAnsi="Tahoma"/>
          <w:sz w:val="18"/>
        </w:rPr>
        <w:t>sie</w:t>
      </w:r>
      <w:r w:rsidRPr="00A30AA4">
        <w:rPr>
          <w:rFonts w:ascii="Tahoma" w:hAnsi="Tahoma"/>
          <w:sz w:val="18"/>
        </w:rPr>
        <w:t xml:space="preserve">ms molekuliniams testams, tyrimams </w:t>
      </w:r>
      <w:r w:rsidRPr="00A30AA4">
        <w:rPr>
          <w:rFonts w:ascii="Tahoma" w:hAnsi="Tahoma"/>
          <w:sz w:val="18"/>
        </w:rPr>
        <w:t>mitybinėje</w:t>
      </w:r>
      <w:r w:rsidRPr="00A30AA4">
        <w:rPr>
          <w:rFonts w:ascii="Tahoma" w:hAnsi="Tahoma"/>
          <w:sz w:val="18"/>
        </w:rPr>
        <w:t xml:space="preserve"> terpėje, padermės nustatymo tyrimui ir JVT, naudojant greitu</w:t>
      </w:r>
      <w:r w:rsidR="00C02C43">
        <w:rPr>
          <w:rFonts w:ascii="Tahoma" w:hAnsi="Tahoma"/>
          <w:sz w:val="18"/>
        </w:rPr>
        <w:t>osiu</w:t>
      </w:r>
      <w:r w:rsidRPr="00A30AA4">
        <w:rPr>
          <w:rFonts w:ascii="Tahoma" w:hAnsi="Tahoma"/>
          <w:sz w:val="18"/>
        </w:rPr>
        <w:t xml:space="preserve">s molekulinius testus ir tyrimo </w:t>
      </w:r>
      <w:r w:rsidRPr="00A30AA4">
        <w:rPr>
          <w:rFonts w:ascii="Tahoma" w:hAnsi="Tahoma"/>
          <w:sz w:val="18"/>
        </w:rPr>
        <w:t>mitybinėje</w:t>
      </w:r>
      <w:r w:rsidRPr="00A30AA4">
        <w:rPr>
          <w:rFonts w:ascii="Tahoma" w:hAnsi="Tahoma"/>
          <w:sz w:val="18"/>
        </w:rPr>
        <w:t xml:space="preserve"> terpėje metodus, užtikrintos kokybės paslaugas teikiančioje laborato</w:t>
      </w:r>
      <w:r w:rsidRPr="00A30AA4">
        <w:rPr>
          <w:rFonts w:ascii="Tahoma" w:hAnsi="Tahoma"/>
          <w:sz w:val="18"/>
        </w:rPr>
        <w:t>rijoje.</w:t>
      </w:r>
    </w:p>
    <w:p w:rsidR="00DA3A70" w:rsidRPr="00A30AA4" w:rsidP="00A82B43">
      <w:pPr>
        <w:shd w:val="clear" w:color="auto" w:fill="D9D9D9"/>
        <w:autoSpaceDE w:val="0"/>
        <w:autoSpaceDN w:val="0"/>
        <w:adjustRightInd w:val="0"/>
        <w:spacing w:after="0"/>
        <w:jc w:val="both"/>
        <w:rPr>
          <w:rFonts w:ascii="Tahoma" w:hAnsi="Tahoma" w:cs="Tahoma"/>
          <w:b/>
          <w:bCs/>
          <w:sz w:val="24"/>
          <w:szCs w:val="24"/>
        </w:rPr>
      </w:pPr>
      <w:r w:rsidRPr="00A30AA4">
        <w:rPr>
          <w:rFonts w:ascii="Tahoma" w:hAnsi="Tahoma"/>
          <w:b/>
          <w:sz w:val="24"/>
          <w:shd w:val="clear" w:color="auto" w:fill="D9D9D9"/>
        </w:rPr>
        <w:t>5 standartas</w:t>
      </w:r>
    </w:p>
    <w:p w:rsidR="00DA3A70" w:rsidRPr="00A30AA4" w:rsidP="0028467E">
      <w:pPr>
        <w:spacing w:after="120"/>
        <w:rPr>
          <w:rFonts w:ascii="Tahoma" w:hAnsi="Tahoma" w:cs="Tahoma"/>
          <w:sz w:val="18"/>
          <w:szCs w:val="18"/>
        </w:rPr>
      </w:pPr>
      <w:r w:rsidRPr="00A30AA4">
        <w:rPr>
          <w:rFonts w:ascii="Tahoma" w:hAnsi="Tahoma"/>
          <w:sz w:val="18"/>
        </w:rPr>
        <w:t xml:space="preserve">Neigiamas plaučių tuberkuliozės tyrimo </w:t>
      </w:r>
      <w:r w:rsidRPr="00A30AA4">
        <w:rPr>
          <w:rFonts w:ascii="Tahoma" w:hAnsi="Tahoma"/>
          <w:sz w:val="18"/>
        </w:rPr>
        <w:t>mitybinėje</w:t>
      </w:r>
      <w:r w:rsidRPr="00A30AA4">
        <w:rPr>
          <w:rFonts w:ascii="Tahoma" w:hAnsi="Tahoma"/>
          <w:sz w:val="18"/>
        </w:rPr>
        <w:t xml:space="preserve"> terpėje rezultatas nustatomas remiantis šiais kriterijais: visi bakteriologiniai tyrimai (įskaitant tiesioginius skreplių tepinėlio tyrimus, tyrimus </w:t>
      </w:r>
      <w:r w:rsidRPr="00A30AA4">
        <w:rPr>
          <w:rFonts w:ascii="Tahoma" w:hAnsi="Tahoma"/>
          <w:sz w:val="18"/>
        </w:rPr>
        <w:t>mitybinėse</w:t>
      </w:r>
      <w:r w:rsidRPr="00A30AA4">
        <w:rPr>
          <w:rFonts w:ascii="Tahoma" w:hAnsi="Tahoma"/>
          <w:sz w:val="18"/>
        </w:rPr>
        <w:t xml:space="preserve"> terpėse ir greitu</w:t>
      </w:r>
      <w:r w:rsidR="00C02C43">
        <w:rPr>
          <w:rFonts w:ascii="Tahoma" w:hAnsi="Tahoma"/>
          <w:sz w:val="18"/>
        </w:rPr>
        <w:t>osiu</w:t>
      </w:r>
      <w:r w:rsidRPr="00A30AA4">
        <w:rPr>
          <w:rFonts w:ascii="Tahoma" w:hAnsi="Tahoma"/>
          <w:sz w:val="18"/>
        </w:rPr>
        <w:t xml:space="preserve">s molekulinius testus) yra neigiami; krūtinės ląstos rentgenogramoje matomi pakitimai atitinka tuberkuliozės požymius; ir bakterijos nereaguoja į bandymą su plataus veikimo spektro antimikrobinėmis medžiagomis (Pastaba. Kadangi </w:t>
      </w:r>
      <w:r w:rsidRPr="00A30AA4">
        <w:rPr>
          <w:rFonts w:ascii="Tahoma" w:hAnsi="Tahoma"/>
          <w:sz w:val="18"/>
        </w:rPr>
        <w:t>fluorochinolonai</w:t>
      </w:r>
      <w:r w:rsidRPr="00A30AA4">
        <w:rPr>
          <w:rFonts w:ascii="Tahoma" w:hAnsi="Tahoma"/>
          <w:sz w:val="18"/>
        </w:rPr>
        <w:t xml:space="preserve"> veikia </w:t>
      </w:r>
      <w:r w:rsidRPr="00A30AA4">
        <w:rPr>
          <w:rFonts w:ascii="Tahoma" w:hAnsi="Tahoma"/>
          <w:i/>
          <w:sz w:val="18"/>
        </w:rPr>
        <w:t>M. </w:t>
      </w:r>
      <w:r w:rsidRPr="00A30AA4">
        <w:rPr>
          <w:rFonts w:ascii="Tahoma" w:hAnsi="Tahoma"/>
          <w:i/>
          <w:sz w:val="18"/>
        </w:rPr>
        <w:t>t</w:t>
      </w:r>
      <w:r w:rsidRPr="00A30AA4">
        <w:rPr>
          <w:rFonts w:ascii="Tahoma" w:hAnsi="Tahoma"/>
          <w:i/>
          <w:sz w:val="18"/>
        </w:rPr>
        <w:t>uberculosis</w:t>
      </w:r>
      <w:r w:rsidRPr="00A30AA4">
        <w:rPr>
          <w:rFonts w:ascii="Tahoma" w:hAnsi="Tahoma"/>
          <w:sz w:val="18"/>
        </w:rPr>
        <w:t xml:space="preserve"> kompleksą ir gali laikinai pagerinti tuberkulioze sergančių asmenų sveikatos būklę, jų geriau nevartoti). Sunkiai sergantiems asmenims arba asmenims, kuriems nustatyta arba įtariama žmogaus imunodeficito viruso (ŽIV) infekcija arba kurie serga </w:t>
      </w:r>
      <w:r w:rsidRPr="00A30AA4">
        <w:rPr>
          <w:rFonts w:ascii="Tahoma" w:hAnsi="Tahoma"/>
          <w:sz w:val="18"/>
        </w:rPr>
        <w:t xml:space="preserve">imunitetą slopinančiomis ligomis, atliekamą diagnostinį vertinimą reikėtų paspartinti ir, jeigu klinikinių tyrimų duomenys tvirtai leidžia manyti, kad asmuo serga tuberkulioze, reikėtų pradėti tuberkuliozės gydymo kursą. </w:t>
      </w:r>
    </w:p>
    <w:p w:rsidR="00E23086" w:rsidRPr="00A30AA4" w:rsidP="000D0DB0">
      <w:pPr>
        <w:pStyle w:val="EC-Title-6"/>
      </w:pPr>
      <w:r w:rsidRPr="00A30AA4">
        <w:t>Tik ES taikomi reikalavimai</w:t>
      </w:r>
    </w:p>
    <w:p w:rsidR="00DA3A70" w:rsidRPr="00A30AA4" w:rsidP="0028467E">
      <w:pPr>
        <w:spacing w:after="120"/>
        <w:rPr>
          <w:rFonts w:ascii="Tahoma" w:hAnsi="Tahoma" w:cs="Tahoma"/>
          <w:sz w:val="18"/>
          <w:szCs w:val="18"/>
        </w:rPr>
      </w:pPr>
      <w:r w:rsidRPr="00A30AA4">
        <w:rPr>
          <w:rFonts w:ascii="Tahoma" w:hAnsi="Tahoma"/>
          <w:sz w:val="18"/>
        </w:rPr>
        <w:t>Siekia</w:t>
      </w:r>
      <w:r w:rsidRPr="00A30AA4">
        <w:rPr>
          <w:rFonts w:ascii="Tahoma" w:hAnsi="Tahoma"/>
          <w:sz w:val="18"/>
        </w:rPr>
        <w:t xml:space="preserve">nt užtikrinti kokybišką tiek plaučių, tiek </w:t>
      </w:r>
      <w:r w:rsidRPr="00A30AA4">
        <w:rPr>
          <w:rFonts w:ascii="Tahoma" w:hAnsi="Tahoma"/>
          <w:sz w:val="18"/>
        </w:rPr>
        <w:t>ekstrapulmoninės</w:t>
      </w:r>
      <w:r w:rsidRPr="00A30AA4">
        <w:rPr>
          <w:rFonts w:ascii="Tahoma" w:hAnsi="Tahoma"/>
          <w:sz w:val="18"/>
        </w:rPr>
        <w:t xml:space="preserve"> tuberkuliozės diagnozavimą, turėtų būti paimti tinkami mėginiai bakteriologiniams tyrimams. Atitinkamais atvejais reikėtų taikyti skreplių indukcijos, </w:t>
      </w:r>
      <w:r w:rsidRPr="00A30AA4">
        <w:rPr>
          <w:rFonts w:ascii="Tahoma" w:hAnsi="Tahoma"/>
          <w:sz w:val="18"/>
        </w:rPr>
        <w:t>bronchoskopijos</w:t>
      </w:r>
      <w:r w:rsidRPr="00A30AA4">
        <w:rPr>
          <w:rFonts w:ascii="Tahoma" w:hAnsi="Tahoma"/>
          <w:sz w:val="18"/>
        </w:rPr>
        <w:t xml:space="preserve"> ir </w:t>
      </w:r>
      <w:r w:rsidRPr="00A30AA4">
        <w:rPr>
          <w:rFonts w:ascii="Tahoma" w:hAnsi="Tahoma"/>
          <w:sz w:val="18"/>
        </w:rPr>
        <w:t>bronchoalveolinio</w:t>
      </w:r>
      <w:r w:rsidRPr="00A30AA4">
        <w:rPr>
          <w:rFonts w:ascii="Tahoma" w:hAnsi="Tahoma"/>
          <w:sz w:val="18"/>
        </w:rPr>
        <w:t xml:space="preserve"> </w:t>
      </w:r>
      <w:r w:rsidRPr="00A30AA4">
        <w:rPr>
          <w:rFonts w:ascii="Tahoma" w:hAnsi="Tahoma"/>
          <w:sz w:val="18"/>
        </w:rPr>
        <w:t>lavažo</w:t>
      </w:r>
      <w:r w:rsidRPr="00A30AA4">
        <w:rPr>
          <w:rFonts w:ascii="Tahoma" w:hAnsi="Tahoma"/>
          <w:sz w:val="18"/>
        </w:rPr>
        <w:t xml:space="preserve">, </w:t>
      </w:r>
      <w:r w:rsidRPr="00A30AA4">
        <w:rPr>
          <w:rFonts w:ascii="Tahoma" w:hAnsi="Tahoma"/>
          <w:sz w:val="18"/>
        </w:rPr>
        <w:t xml:space="preserve">skrandžio </w:t>
      </w:r>
      <w:r w:rsidRPr="00A30AA4">
        <w:rPr>
          <w:rFonts w:ascii="Tahoma" w:hAnsi="Tahoma"/>
          <w:sz w:val="18"/>
        </w:rPr>
        <w:t>nuoplovų</w:t>
      </w:r>
      <w:r w:rsidRPr="00A30AA4">
        <w:rPr>
          <w:rFonts w:ascii="Tahoma" w:hAnsi="Tahoma"/>
          <w:sz w:val="18"/>
        </w:rPr>
        <w:t xml:space="preserve">, biopsijos arba </w:t>
      </w:r>
      <w:r w:rsidRPr="0099378A">
        <w:rPr>
          <w:rFonts w:ascii="Tahoma" w:hAnsi="Tahoma"/>
          <w:sz w:val="18"/>
        </w:rPr>
        <w:t>plonos adatos</w:t>
      </w:r>
      <w:r w:rsidRPr="00A30AA4">
        <w:rPr>
          <w:rFonts w:ascii="Tahoma" w:hAnsi="Tahoma"/>
          <w:sz w:val="18"/>
        </w:rPr>
        <w:t xml:space="preserve"> </w:t>
      </w:r>
      <w:r w:rsidRPr="00A30AA4">
        <w:rPr>
          <w:rFonts w:ascii="Tahoma" w:hAnsi="Tahoma"/>
          <w:sz w:val="18"/>
        </w:rPr>
        <w:t>aspiracinės</w:t>
      </w:r>
      <w:r w:rsidRPr="00A30AA4">
        <w:rPr>
          <w:rFonts w:ascii="Tahoma" w:hAnsi="Tahoma"/>
          <w:sz w:val="18"/>
        </w:rPr>
        <w:t xml:space="preserve"> biopsijos metodus [1]. Mėginius reikėtų apdoroti naudojant turimus diagnostinius įrankius [2] ir jų tyrimo rezultatus reikėtų papildyti atitinkamais vaizdinimo tyrimais (radiologiniais, ultragars</w:t>
      </w:r>
      <w:r w:rsidRPr="00A30AA4">
        <w:rPr>
          <w:rFonts w:ascii="Tahoma" w:hAnsi="Tahoma"/>
          <w:sz w:val="18"/>
        </w:rPr>
        <w:t xml:space="preserve">o, kompiuterinės tomografijos, magnetinio rezonanso, pozitronų emisijos tomografijos / kompiuterinės tomografijos tyrimais) ir kitais būtinais tyrimais, kurie turėtų būti atliekami vadovaujantis įrodymais pagrįstomis gairėmis [2–4]. </w:t>
      </w:r>
    </w:p>
    <w:p w:rsidR="00DA3A70" w:rsidRPr="00A30AA4" w:rsidP="0028467E">
      <w:pPr>
        <w:spacing w:after="120"/>
        <w:rPr>
          <w:rFonts w:ascii="Tahoma" w:hAnsi="Tahoma" w:cs="Tahoma"/>
          <w:sz w:val="18"/>
          <w:szCs w:val="18"/>
        </w:rPr>
      </w:pPr>
      <w:r w:rsidRPr="00A30AA4">
        <w:rPr>
          <w:rFonts w:ascii="Tahoma" w:hAnsi="Tahoma"/>
          <w:sz w:val="18"/>
        </w:rPr>
        <w:t>Pasaulio sveikatos org</w:t>
      </w:r>
      <w:r w:rsidRPr="00A30AA4">
        <w:rPr>
          <w:rFonts w:ascii="Tahoma" w:hAnsi="Tahoma"/>
          <w:sz w:val="18"/>
        </w:rPr>
        <w:t>anizacijos (PSO) rekomenduojami greiti</w:t>
      </w:r>
      <w:r w:rsidR="00961EF7">
        <w:rPr>
          <w:rFonts w:ascii="Tahoma" w:hAnsi="Tahoma"/>
          <w:sz w:val="18"/>
        </w:rPr>
        <w:t>eji</w:t>
      </w:r>
      <w:r w:rsidRPr="00A30AA4">
        <w:rPr>
          <w:rFonts w:ascii="Tahoma" w:hAnsi="Tahoma"/>
          <w:sz w:val="18"/>
        </w:rPr>
        <w:t xml:space="preserve"> molekuliniai tyrimai [5], taip pat tyrimai </w:t>
      </w:r>
      <w:r w:rsidRPr="00A30AA4">
        <w:rPr>
          <w:rFonts w:ascii="Tahoma" w:hAnsi="Tahoma"/>
          <w:sz w:val="18"/>
        </w:rPr>
        <w:t>mitybinėje</w:t>
      </w:r>
      <w:r w:rsidRPr="00A30AA4">
        <w:rPr>
          <w:rFonts w:ascii="Tahoma" w:hAnsi="Tahoma"/>
          <w:sz w:val="18"/>
        </w:rPr>
        <w:t xml:space="preserve"> terpėje ir JVT turėtų būti atliekami su kiekvienu pacientų, kuriems įtariama plaučių ir </w:t>
      </w:r>
      <w:r w:rsidRPr="00A30AA4">
        <w:rPr>
          <w:rFonts w:ascii="Tahoma" w:hAnsi="Tahoma"/>
          <w:sz w:val="18"/>
        </w:rPr>
        <w:t>ekstrapulmoninė</w:t>
      </w:r>
      <w:r w:rsidRPr="00A30AA4">
        <w:rPr>
          <w:rFonts w:ascii="Tahoma" w:hAnsi="Tahoma"/>
          <w:sz w:val="18"/>
        </w:rPr>
        <w:t xml:space="preserve"> tuberkuliozė, mėginiu, įskaitant operacijos metu arba at</w:t>
      </w:r>
      <w:r w:rsidRPr="00A30AA4">
        <w:rPr>
          <w:rFonts w:ascii="Tahoma" w:hAnsi="Tahoma"/>
          <w:sz w:val="18"/>
        </w:rPr>
        <w:t>liekant kitas invazines procedūras paimtus mėginius, kurie paprastai tiriami histologiniu būdu. Todėl chirurgams reikėtų patarti išsaugoti biologinį mėginį įprastame fiziologiniame tirpale – mikrobiologiniams ir molekuliniams biologiniams tyrimams, ir form</w:t>
      </w:r>
      <w:r w:rsidRPr="00A30AA4">
        <w:rPr>
          <w:rFonts w:ascii="Tahoma" w:hAnsi="Tahoma"/>
          <w:sz w:val="18"/>
        </w:rPr>
        <w:t xml:space="preserve">aline – </w:t>
      </w:r>
      <w:r w:rsidRPr="00A30AA4">
        <w:rPr>
          <w:rFonts w:ascii="Tahoma" w:hAnsi="Tahoma"/>
          <w:sz w:val="18"/>
        </w:rPr>
        <w:t>histopatologiniams</w:t>
      </w:r>
      <w:r w:rsidRPr="00A30AA4">
        <w:rPr>
          <w:rFonts w:ascii="Tahoma" w:hAnsi="Tahoma"/>
          <w:sz w:val="18"/>
        </w:rPr>
        <w:t xml:space="preserve"> tyrimams.</w:t>
      </w:r>
    </w:p>
    <w:p w:rsidR="00DA3A70" w:rsidRPr="00A30AA4" w:rsidP="008A39C9">
      <w:pPr>
        <w:shd w:val="clear" w:color="auto" w:fill="D9D9D9"/>
        <w:autoSpaceDE w:val="0"/>
        <w:autoSpaceDN w:val="0"/>
        <w:adjustRightInd w:val="0"/>
        <w:spacing w:after="0"/>
        <w:jc w:val="both"/>
        <w:rPr>
          <w:rFonts w:ascii="Tahoma" w:hAnsi="Tahoma" w:cs="Tahoma"/>
          <w:sz w:val="24"/>
          <w:szCs w:val="24"/>
        </w:rPr>
      </w:pPr>
      <w:r w:rsidRPr="00A30AA4">
        <w:rPr>
          <w:rFonts w:ascii="Tahoma" w:hAnsi="Tahoma"/>
          <w:b/>
          <w:sz w:val="24"/>
        </w:rPr>
        <w:t>6 standartas</w:t>
      </w:r>
    </w:p>
    <w:p w:rsidR="00D830C5" w:rsidRPr="00A30AA4" w:rsidP="000D0DB0">
      <w:pPr>
        <w:spacing w:after="120"/>
        <w:rPr>
          <w:rFonts w:ascii="Tahoma" w:hAnsi="Tahoma" w:cs="Tahoma"/>
          <w:spacing w:val="-4"/>
          <w:sz w:val="18"/>
          <w:szCs w:val="18"/>
        </w:rPr>
      </w:pPr>
      <w:r w:rsidRPr="00A30AA4">
        <w:rPr>
          <w:rFonts w:ascii="Tahoma" w:hAnsi="Tahoma"/>
          <w:spacing w:val="-4"/>
          <w:sz w:val="18"/>
        </w:rPr>
        <w:t xml:space="preserve">Visiems vaikams, kuriems įtariama krūtinės ląstos vidaus organų (t. y. plaučių, </w:t>
      </w:r>
      <w:r w:rsidRPr="00A30AA4">
        <w:rPr>
          <w:rFonts w:ascii="Tahoma" w:hAnsi="Tahoma"/>
          <w:spacing w:val="-4"/>
          <w:sz w:val="18"/>
        </w:rPr>
        <w:t>krūtinplėvės</w:t>
      </w:r>
      <w:r w:rsidRPr="00A30AA4">
        <w:rPr>
          <w:rFonts w:ascii="Tahoma" w:hAnsi="Tahoma"/>
          <w:spacing w:val="-4"/>
          <w:sz w:val="18"/>
        </w:rPr>
        <w:t xml:space="preserve"> ir tarpuplaučio arba </w:t>
      </w:r>
      <w:r w:rsidRPr="0099378A">
        <w:rPr>
          <w:rFonts w:ascii="Tahoma" w:hAnsi="Tahoma"/>
          <w:spacing w:val="-4"/>
          <w:sz w:val="18"/>
        </w:rPr>
        <w:t>plaučių šaknų limfmazgio</w:t>
      </w:r>
      <w:r w:rsidRPr="00A30AA4">
        <w:rPr>
          <w:rFonts w:ascii="Tahoma" w:hAnsi="Tahoma"/>
          <w:spacing w:val="-4"/>
          <w:sz w:val="18"/>
        </w:rPr>
        <w:t>) tuberkuliozė, įtariama diagnozė turėtų būti patvirtinta bakteriolo</w:t>
      </w:r>
      <w:r w:rsidRPr="00A30AA4">
        <w:rPr>
          <w:rFonts w:ascii="Tahoma" w:hAnsi="Tahoma"/>
          <w:spacing w:val="-4"/>
          <w:sz w:val="18"/>
        </w:rPr>
        <w:t xml:space="preserve">giškai, ištiriant atitinkamus biologinius mėginius (atkosėtus arba indukuotus skreplius, bronchų sekretą, </w:t>
      </w:r>
      <w:r w:rsidRPr="00A30AA4">
        <w:rPr>
          <w:rFonts w:ascii="Tahoma" w:hAnsi="Tahoma"/>
          <w:spacing w:val="-4"/>
          <w:sz w:val="18"/>
        </w:rPr>
        <w:t>krūtinplėvės</w:t>
      </w:r>
      <w:r w:rsidRPr="00A30AA4">
        <w:rPr>
          <w:rFonts w:ascii="Tahoma" w:hAnsi="Tahoma"/>
          <w:spacing w:val="-4"/>
          <w:sz w:val="18"/>
        </w:rPr>
        <w:t xml:space="preserve"> skystį, skrandžio </w:t>
      </w:r>
      <w:r w:rsidRPr="00A30AA4">
        <w:rPr>
          <w:rFonts w:ascii="Tahoma" w:hAnsi="Tahoma"/>
          <w:spacing w:val="-4"/>
          <w:sz w:val="18"/>
        </w:rPr>
        <w:t>nuoplovas</w:t>
      </w:r>
      <w:r w:rsidRPr="00A30AA4">
        <w:rPr>
          <w:rFonts w:ascii="Tahoma" w:hAnsi="Tahoma"/>
          <w:spacing w:val="-4"/>
          <w:sz w:val="18"/>
        </w:rPr>
        <w:t xml:space="preserve"> arba endoskopinės ultragarsinės biopsijos mėginius) atliekant tepinėlio mikroskopiją, greitu</w:t>
      </w:r>
      <w:r w:rsidR="00961EF7">
        <w:rPr>
          <w:rFonts w:ascii="Tahoma" w:hAnsi="Tahoma"/>
          <w:spacing w:val="-4"/>
          <w:sz w:val="18"/>
        </w:rPr>
        <w:t>osiu</w:t>
      </w:r>
      <w:r w:rsidRPr="00A30AA4">
        <w:rPr>
          <w:rFonts w:ascii="Tahoma" w:hAnsi="Tahoma"/>
          <w:spacing w:val="-4"/>
          <w:sz w:val="18"/>
        </w:rPr>
        <w:t xml:space="preserve">s </w:t>
      </w:r>
      <w:r w:rsidRPr="00A30AA4">
        <w:rPr>
          <w:rFonts w:ascii="Tahoma" w:hAnsi="Tahoma"/>
          <w:spacing w:val="-4"/>
          <w:sz w:val="18"/>
        </w:rPr>
        <w:t xml:space="preserve">molekulinius testus, </w:t>
      </w:r>
      <w:r w:rsidRPr="00A30AA4">
        <w:rPr>
          <w:rFonts w:ascii="Tahoma" w:hAnsi="Tahoma"/>
          <w:spacing w:val="-4"/>
          <w:sz w:val="18"/>
        </w:rPr>
        <w:t xml:space="preserve">padermės nustatymo tyrimą ir JVT, naudojant tyrimo </w:t>
      </w:r>
      <w:r w:rsidRPr="00A30AA4">
        <w:rPr>
          <w:rFonts w:ascii="Tahoma" w:hAnsi="Tahoma"/>
          <w:spacing w:val="-4"/>
          <w:sz w:val="18"/>
        </w:rPr>
        <w:t>mitybinėje</w:t>
      </w:r>
      <w:r w:rsidRPr="00A30AA4">
        <w:rPr>
          <w:rFonts w:ascii="Tahoma" w:hAnsi="Tahoma"/>
          <w:spacing w:val="-4"/>
          <w:sz w:val="18"/>
        </w:rPr>
        <w:t xml:space="preserve"> terpėje metodus, užtikrintos kokybės paslaugas teikiančioje laboratorijoje [3, 5–9]. Jeigu bakteriologinių tyrimų rezultatai neigiami, tuberkuliozės diagnozė turėtų būti pag</w:t>
      </w:r>
      <w:r w:rsidRPr="00A30AA4">
        <w:rPr>
          <w:rFonts w:ascii="Tahoma" w:hAnsi="Tahoma"/>
          <w:spacing w:val="-4"/>
          <w:sz w:val="18"/>
        </w:rPr>
        <w:t>rįsta tuberkuliozės požymius atitinkančiais pakitimais, matomais krūtinės ląstos rentgenogramoje arba kitais tyrimo metodais gautuose vaizduose, bendravimo su užsikrėtusiu asmeniu faktu, tuberkuliozės infekcijos požymiais (teigiamais tuberkulino odos testo</w:t>
      </w:r>
      <w:r w:rsidRPr="00A30AA4">
        <w:rPr>
          <w:rFonts w:ascii="Tahoma" w:hAnsi="Tahoma"/>
          <w:spacing w:val="-4"/>
          <w:sz w:val="18"/>
        </w:rPr>
        <w:t xml:space="preserve"> (TOT) ir (arba) gama interferono išsiskyrimo tyrimo (angl. IGRA) rezultatais) [5, 10–13] ir (arba) klinikinių tyrimų rezultatais, kurie leidžia manyti, kad asmuo serga tuberkulioze [3]. Vaikams, kuriems įtariama </w:t>
      </w:r>
      <w:r w:rsidRPr="00A30AA4">
        <w:rPr>
          <w:rFonts w:ascii="Tahoma" w:hAnsi="Tahoma"/>
          <w:spacing w:val="-4"/>
          <w:sz w:val="18"/>
        </w:rPr>
        <w:t>ekstrapulmoninė</w:t>
      </w:r>
      <w:r w:rsidRPr="00A30AA4">
        <w:rPr>
          <w:rFonts w:ascii="Tahoma" w:hAnsi="Tahoma"/>
          <w:spacing w:val="-4"/>
          <w:sz w:val="18"/>
        </w:rPr>
        <w:t xml:space="preserve"> tuberkuliozė, iš tariamai l</w:t>
      </w:r>
      <w:r w:rsidRPr="00A30AA4">
        <w:rPr>
          <w:rFonts w:ascii="Tahoma" w:hAnsi="Tahoma"/>
          <w:spacing w:val="-4"/>
          <w:sz w:val="18"/>
        </w:rPr>
        <w:t>igos pažeistų vietų reikėtų paimti atitinkamus mėginius mikroskopijai, rekomenduojamiems greitie</w:t>
      </w:r>
      <w:r w:rsidR="00961EF7">
        <w:rPr>
          <w:rFonts w:ascii="Tahoma" w:hAnsi="Tahoma"/>
          <w:spacing w:val="-4"/>
          <w:sz w:val="18"/>
        </w:rPr>
        <w:t>sie</w:t>
      </w:r>
      <w:r w:rsidRPr="00A30AA4">
        <w:rPr>
          <w:rFonts w:ascii="Tahoma" w:hAnsi="Tahoma"/>
          <w:spacing w:val="-4"/>
          <w:sz w:val="18"/>
        </w:rPr>
        <w:t xml:space="preserve">ms molekuliniams testams, padermės nustatymo tyrimui ir JVT, naudojant tyrimo </w:t>
      </w:r>
      <w:r w:rsidRPr="00A30AA4">
        <w:rPr>
          <w:rFonts w:ascii="Tahoma" w:hAnsi="Tahoma"/>
          <w:spacing w:val="-4"/>
          <w:sz w:val="18"/>
        </w:rPr>
        <w:t>mitybinėje</w:t>
      </w:r>
      <w:r w:rsidRPr="00A30AA4">
        <w:rPr>
          <w:rFonts w:ascii="Tahoma" w:hAnsi="Tahoma"/>
          <w:spacing w:val="-4"/>
          <w:sz w:val="18"/>
        </w:rPr>
        <w:t xml:space="preserve"> terpėje metodus, taip pat </w:t>
      </w:r>
      <w:r w:rsidRPr="00A30AA4">
        <w:rPr>
          <w:rFonts w:ascii="Tahoma" w:hAnsi="Tahoma"/>
          <w:spacing w:val="-4"/>
          <w:sz w:val="18"/>
        </w:rPr>
        <w:t>histopatologiniam</w:t>
      </w:r>
      <w:r w:rsidRPr="00A30AA4">
        <w:rPr>
          <w:rFonts w:ascii="Tahoma" w:hAnsi="Tahoma"/>
          <w:spacing w:val="-4"/>
          <w:sz w:val="18"/>
        </w:rPr>
        <w:t xml:space="preserve"> tyrimui [5, 14, 15]. </w:t>
      </w:r>
    </w:p>
    <w:p w:rsidR="00D830C5" w:rsidRPr="00A30AA4" w:rsidP="0028467E">
      <w:pPr>
        <w:pStyle w:val="EC-Title-5"/>
        <w:spacing w:before="120" w:after="240"/>
      </w:pPr>
      <w:r w:rsidRPr="00A30AA4">
        <w:t>Tu</w:t>
      </w:r>
      <w:r w:rsidRPr="00A30AA4">
        <w:t>berkuliozės gydymo standartai</w:t>
      </w:r>
    </w:p>
    <w:p w:rsidR="00DA3A70" w:rsidRPr="00A30AA4" w:rsidP="00A82B43">
      <w:pPr>
        <w:shd w:val="clear" w:color="auto" w:fill="D9D9D9"/>
        <w:autoSpaceDE w:val="0"/>
        <w:autoSpaceDN w:val="0"/>
        <w:adjustRightInd w:val="0"/>
        <w:spacing w:after="0"/>
        <w:jc w:val="both"/>
        <w:rPr>
          <w:rFonts w:ascii="Tahoma" w:hAnsi="Tahoma" w:cs="Tahoma"/>
          <w:b/>
          <w:bCs/>
          <w:i/>
          <w:sz w:val="24"/>
          <w:szCs w:val="24"/>
        </w:rPr>
      </w:pPr>
      <w:r w:rsidRPr="00A30AA4">
        <w:rPr>
          <w:rFonts w:ascii="Tahoma" w:hAnsi="Tahoma"/>
          <w:b/>
          <w:sz w:val="24"/>
        </w:rPr>
        <w:t>7 standartas</w:t>
      </w:r>
    </w:p>
    <w:p w:rsidR="00DA3A70" w:rsidRPr="00A30AA4" w:rsidP="0028467E">
      <w:pPr>
        <w:spacing w:after="120"/>
        <w:rPr>
          <w:rFonts w:ascii="Tahoma" w:hAnsi="Tahoma" w:cs="Tahoma"/>
          <w:sz w:val="18"/>
          <w:szCs w:val="18"/>
        </w:rPr>
      </w:pPr>
      <w:r w:rsidRPr="00A30AA4">
        <w:rPr>
          <w:rFonts w:ascii="Tahoma" w:hAnsi="Tahoma"/>
          <w:sz w:val="18"/>
        </w:rPr>
        <w:t>Bet kuris tuberkulioze sergantį pacientą gydantis gydytojas prisiima visuomenės sveikatos požiūriu svarbų įsipareigojimą užkirsti kelią infekcijos plitimui ir atsparumo vaistams vystymuisi. Laikydamasis šio įsipar</w:t>
      </w:r>
      <w:r w:rsidRPr="00A30AA4">
        <w:rPr>
          <w:rFonts w:ascii="Tahoma" w:hAnsi="Tahoma"/>
          <w:sz w:val="18"/>
        </w:rPr>
        <w:t xml:space="preserve">eigojimo, gydytojas, bendradarbiaudamas su visuomenės sveikatos institucijomis, turi: 1) skirti atitinkamą gydymo režimą (atsižvelgiant į </w:t>
      </w:r>
      <w:r w:rsidRPr="00A30AA4">
        <w:rPr>
          <w:rFonts w:ascii="Tahoma" w:hAnsi="Tahoma"/>
          <w:sz w:val="18"/>
        </w:rPr>
        <w:t>genotipinių</w:t>
      </w:r>
      <w:r w:rsidRPr="00A30AA4">
        <w:rPr>
          <w:rFonts w:ascii="Tahoma" w:hAnsi="Tahoma"/>
          <w:sz w:val="18"/>
        </w:rPr>
        <w:t xml:space="preserve"> ir (arba) fenotipinių JVT rezultatus); 2) atlikti </w:t>
      </w:r>
      <w:r w:rsidR="008A3DCE">
        <w:rPr>
          <w:rFonts w:ascii="Tahoma" w:hAnsi="Tahoma"/>
          <w:sz w:val="18"/>
        </w:rPr>
        <w:t>sąlytį turėjusių asmenų nustatymą ir ištyrimą</w:t>
      </w:r>
      <w:r w:rsidRPr="00A30AA4">
        <w:rPr>
          <w:rFonts w:ascii="Tahoma" w:hAnsi="Tahoma"/>
          <w:sz w:val="18"/>
        </w:rPr>
        <w:t>; 3) vadovaujantis į pacientą sutelktu požiūriu, įvertinti, kaip pacientas laikosi gydymo nurodymų, ir skatinti jį laikytis gydymo režimo, bendradarbiaujant su šeimos nariais, vietos visuomenės ir (arba) bendruomenės s</w:t>
      </w:r>
      <w:r w:rsidRPr="00A30AA4">
        <w:rPr>
          <w:rFonts w:ascii="Tahoma" w:hAnsi="Tahoma"/>
          <w:sz w:val="18"/>
        </w:rPr>
        <w:t xml:space="preserve">veikatos tarnybomis bei pilietinės visuomenės organizacijomis ir 4) stebėti gydymo rezultatus [2, 16, 17]. </w:t>
      </w:r>
    </w:p>
    <w:p w:rsidR="00DA3A70" w:rsidRPr="00A30AA4" w:rsidP="00A82B43">
      <w:pPr>
        <w:shd w:val="clear" w:color="auto" w:fill="D9D9D9"/>
        <w:autoSpaceDE w:val="0"/>
        <w:autoSpaceDN w:val="0"/>
        <w:adjustRightInd w:val="0"/>
        <w:spacing w:after="0"/>
        <w:jc w:val="both"/>
        <w:rPr>
          <w:rFonts w:ascii="Tahoma" w:hAnsi="Tahoma" w:cs="Tahoma"/>
          <w:b/>
          <w:bCs/>
          <w:sz w:val="24"/>
          <w:szCs w:val="24"/>
        </w:rPr>
      </w:pPr>
      <w:r w:rsidRPr="00A30AA4">
        <w:rPr>
          <w:rFonts w:ascii="Tahoma" w:hAnsi="Tahoma"/>
          <w:b/>
          <w:sz w:val="24"/>
          <w:shd w:val="clear" w:color="auto" w:fill="D9D9D9"/>
        </w:rPr>
        <w:t>8 standartas</w:t>
      </w:r>
    </w:p>
    <w:p w:rsidR="00DA3A70" w:rsidRPr="00A30AA4" w:rsidP="0028467E">
      <w:pPr>
        <w:spacing w:after="120"/>
        <w:rPr>
          <w:rFonts w:ascii="Tahoma" w:hAnsi="Tahoma" w:cs="Tahoma"/>
          <w:sz w:val="18"/>
          <w:szCs w:val="18"/>
        </w:rPr>
      </w:pPr>
      <w:r w:rsidRPr="00A30AA4">
        <w:rPr>
          <w:rFonts w:ascii="Tahoma" w:hAnsi="Tahoma"/>
          <w:sz w:val="18"/>
        </w:rPr>
        <w:t xml:space="preserve">Visiems pacientams (įskaitant pacientus, kurie taip pat užsikrėtę ŽIV), kuriems anksčiau netaikytas joks gydymas ir nenustatytas ligos </w:t>
      </w:r>
      <w:r w:rsidRPr="00A30AA4">
        <w:rPr>
          <w:rFonts w:ascii="Tahoma" w:hAnsi="Tahoma"/>
          <w:sz w:val="18"/>
        </w:rPr>
        <w:t xml:space="preserve">atsparumas vaistams (atlikus atitinkamus tyrimus), turėtų būti taikomas tarptautiniu lygmeniu pripažįstamas gydymo pirmos eilės vaistais, kurių biologinis </w:t>
      </w:r>
      <w:r w:rsidRPr="00A30AA4">
        <w:rPr>
          <w:rFonts w:ascii="Tahoma" w:hAnsi="Tahoma"/>
          <w:sz w:val="18"/>
        </w:rPr>
        <w:t>įsisavinamumas</w:t>
      </w:r>
      <w:r w:rsidRPr="00A30AA4">
        <w:rPr>
          <w:rFonts w:ascii="Tahoma" w:hAnsi="Tahoma"/>
          <w:sz w:val="18"/>
        </w:rPr>
        <w:t xml:space="preserve"> yra žinomas, režimas. Pirminiame etape pacientas turėtų 2 mėnesius vartoti </w:t>
      </w:r>
      <w:r w:rsidRPr="00A30AA4">
        <w:rPr>
          <w:rFonts w:ascii="Tahoma" w:hAnsi="Tahoma"/>
          <w:sz w:val="18"/>
        </w:rPr>
        <w:t>izoniazidą</w:t>
      </w:r>
      <w:r w:rsidRPr="00A30AA4">
        <w:rPr>
          <w:rFonts w:ascii="Tahoma" w:hAnsi="Tahoma"/>
          <w:sz w:val="18"/>
        </w:rPr>
        <w:t xml:space="preserve"> </w:t>
      </w:r>
      <w:r w:rsidRPr="00A30AA4">
        <w:rPr>
          <w:rFonts w:ascii="Tahoma" w:hAnsi="Tahoma"/>
          <w:sz w:val="18"/>
        </w:rPr>
        <w:t xml:space="preserve">(H), </w:t>
      </w:r>
      <w:r w:rsidRPr="00A30AA4">
        <w:rPr>
          <w:rFonts w:ascii="Tahoma" w:hAnsi="Tahoma"/>
          <w:sz w:val="18"/>
        </w:rPr>
        <w:t>rifampiciną</w:t>
      </w:r>
      <w:r w:rsidRPr="00A30AA4">
        <w:rPr>
          <w:rFonts w:ascii="Tahoma" w:hAnsi="Tahoma"/>
          <w:sz w:val="18"/>
        </w:rPr>
        <w:t xml:space="preserve"> (R), </w:t>
      </w:r>
      <w:r w:rsidRPr="00A30AA4">
        <w:rPr>
          <w:rFonts w:ascii="Tahoma" w:hAnsi="Tahoma"/>
          <w:sz w:val="18"/>
        </w:rPr>
        <w:t>pirazinamidą</w:t>
      </w:r>
      <w:r w:rsidRPr="00A30AA4">
        <w:rPr>
          <w:rFonts w:ascii="Tahoma" w:hAnsi="Tahoma"/>
          <w:sz w:val="18"/>
        </w:rPr>
        <w:t xml:space="preserve"> (Z) ir </w:t>
      </w:r>
      <w:r w:rsidRPr="00A30AA4">
        <w:rPr>
          <w:rFonts w:ascii="Tahoma" w:hAnsi="Tahoma"/>
          <w:sz w:val="18"/>
        </w:rPr>
        <w:t>etambutolį</w:t>
      </w:r>
      <w:r w:rsidRPr="00A30AA4">
        <w:rPr>
          <w:rFonts w:ascii="Tahoma" w:hAnsi="Tahoma"/>
          <w:sz w:val="18"/>
        </w:rPr>
        <w:t xml:space="preserve"> (E). Tolesniame etape pacientas turėtų 4 mėnesius vartoti </w:t>
      </w:r>
      <w:r w:rsidRPr="00A30AA4">
        <w:rPr>
          <w:rFonts w:ascii="Tahoma" w:hAnsi="Tahoma"/>
          <w:sz w:val="18"/>
        </w:rPr>
        <w:t>izoniazidą</w:t>
      </w:r>
      <w:r w:rsidRPr="00A30AA4">
        <w:rPr>
          <w:rFonts w:ascii="Tahoma" w:hAnsi="Tahoma"/>
          <w:sz w:val="18"/>
        </w:rPr>
        <w:t xml:space="preserve"> ir </w:t>
      </w:r>
      <w:r w:rsidRPr="00A30AA4">
        <w:rPr>
          <w:rFonts w:ascii="Tahoma" w:hAnsi="Tahoma"/>
          <w:sz w:val="18"/>
        </w:rPr>
        <w:t>rifampiciną</w:t>
      </w:r>
      <w:r w:rsidRPr="00A30AA4">
        <w:rPr>
          <w:rFonts w:ascii="Tahoma" w:hAnsi="Tahoma"/>
          <w:sz w:val="18"/>
        </w:rPr>
        <w:t xml:space="preserve"> ((2HRZE/4HR). Vaistų nuo tuberkuliozės dozės turėtų atitikti tarptautines rekomendacijas. Dviejų (</w:t>
      </w:r>
      <w:r w:rsidRPr="00A30AA4">
        <w:rPr>
          <w:rFonts w:ascii="Tahoma" w:hAnsi="Tahoma"/>
          <w:sz w:val="18"/>
        </w:rPr>
        <w:t>izoniazido</w:t>
      </w:r>
      <w:r w:rsidRPr="00A30AA4">
        <w:rPr>
          <w:rFonts w:ascii="Tahoma" w:hAnsi="Tahoma"/>
          <w:sz w:val="18"/>
        </w:rPr>
        <w:t xml:space="preserve"> ir </w:t>
      </w:r>
      <w:r w:rsidRPr="00A30AA4">
        <w:rPr>
          <w:rFonts w:ascii="Tahoma" w:hAnsi="Tahoma"/>
          <w:sz w:val="18"/>
        </w:rPr>
        <w:t>rifampi</w:t>
      </w:r>
      <w:r w:rsidRPr="00A30AA4">
        <w:rPr>
          <w:rFonts w:ascii="Tahoma" w:hAnsi="Tahoma"/>
          <w:sz w:val="18"/>
        </w:rPr>
        <w:t>cino</w:t>
      </w:r>
      <w:r w:rsidRPr="00A30AA4">
        <w:rPr>
          <w:rFonts w:ascii="Tahoma" w:hAnsi="Tahoma"/>
          <w:sz w:val="18"/>
        </w:rPr>
        <w:t>), trijų (</w:t>
      </w:r>
      <w:r w:rsidRPr="00A30AA4">
        <w:rPr>
          <w:rFonts w:ascii="Tahoma" w:hAnsi="Tahoma"/>
          <w:sz w:val="18"/>
        </w:rPr>
        <w:t>izoniazido</w:t>
      </w:r>
      <w:r w:rsidRPr="00A30AA4">
        <w:rPr>
          <w:rFonts w:ascii="Tahoma" w:hAnsi="Tahoma"/>
          <w:sz w:val="18"/>
        </w:rPr>
        <w:t xml:space="preserve">, </w:t>
      </w:r>
      <w:r w:rsidRPr="00A30AA4">
        <w:rPr>
          <w:rFonts w:ascii="Tahoma" w:hAnsi="Tahoma"/>
          <w:sz w:val="18"/>
        </w:rPr>
        <w:t>rifampicino</w:t>
      </w:r>
      <w:r w:rsidRPr="00A30AA4">
        <w:rPr>
          <w:rFonts w:ascii="Tahoma" w:hAnsi="Tahoma"/>
          <w:sz w:val="18"/>
        </w:rPr>
        <w:t xml:space="preserve"> ir </w:t>
      </w:r>
      <w:r w:rsidRPr="00A30AA4">
        <w:rPr>
          <w:rFonts w:ascii="Tahoma" w:hAnsi="Tahoma"/>
          <w:sz w:val="18"/>
        </w:rPr>
        <w:t>pirazinamido</w:t>
      </w:r>
      <w:r w:rsidRPr="00A30AA4">
        <w:rPr>
          <w:rFonts w:ascii="Tahoma" w:hAnsi="Tahoma"/>
          <w:sz w:val="18"/>
        </w:rPr>
        <w:t>) ir keturių (</w:t>
      </w:r>
      <w:r w:rsidRPr="00A30AA4">
        <w:rPr>
          <w:rFonts w:ascii="Tahoma" w:hAnsi="Tahoma"/>
          <w:sz w:val="18"/>
        </w:rPr>
        <w:t>izoniazido</w:t>
      </w:r>
      <w:r w:rsidRPr="00A30AA4">
        <w:rPr>
          <w:rFonts w:ascii="Tahoma" w:hAnsi="Tahoma"/>
          <w:sz w:val="18"/>
        </w:rPr>
        <w:t xml:space="preserve">, </w:t>
      </w:r>
      <w:r w:rsidRPr="00A30AA4">
        <w:rPr>
          <w:rFonts w:ascii="Tahoma" w:hAnsi="Tahoma"/>
          <w:sz w:val="18"/>
        </w:rPr>
        <w:t>rifampicino</w:t>
      </w:r>
      <w:r w:rsidRPr="00A30AA4">
        <w:rPr>
          <w:rFonts w:ascii="Tahoma" w:hAnsi="Tahoma"/>
          <w:sz w:val="18"/>
        </w:rPr>
        <w:t xml:space="preserve">, </w:t>
      </w:r>
      <w:r w:rsidRPr="00A30AA4">
        <w:rPr>
          <w:rFonts w:ascii="Tahoma" w:hAnsi="Tahoma"/>
          <w:sz w:val="18"/>
        </w:rPr>
        <w:t>pirazinamido</w:t>
      </w:r>
      <w:r w:rsidRPr="00A30AA4">
        <w:rPr>
          <w:rFonts w:ascii="Tahoma" w:hAnsi="Tahoma"/>
          <w:sz w:val="18"/>
        </w:rPr>
        <w:t xml:space="preserve"> ir </w:t>
      </w:r>
      <w:r w:rsidRPr="00A30AA4">
        <w:rPr>
          <w:rFonts w:ascii="Tahoma" w:hAnsi="Tahoma"/>
          <w:sz w:val="18"/>
        </w:rPr>
        <w:t>etambutolio</w:t>
      </w:r>
      <w:r w:rsidRPr="00A30AA4">
        <w:rPr>
          <w:rFonts w:ascii="Tahoma" w:hAnsi="Tahoma"/>
          <w:sz w:val="18"/>
        </w:rPr>
        <w:t xml:space="preserve">) vaistų fiksuotų dozių derinius gali būti patogiau vartoti. </w:t>
      </w:r>
    </w:p>
    <w:p w:rsidR="00DA3A70" w:rsidRPr="00A30AA4" w:rsidP="00037B0F">
      <w:pPr>
        <w:keepNext/>
        <w:shd w:val="clear" w:color="auto" w:fill="D9D9D9"/>
        <w:autoSpaceDE w:val="0"/>
        <w:autoSpaceDN w:val="0"/>
        <w:adjustRightInd w:val="0"/>
        <w:spacing w:after="0"/>
        <w:jc w:val="both"/>
        <w:rPr>
          <w:rFonts w:ascii="Tahoma" w:hAnsi="Tahoma" w:cs="Tahoma"/>
          <w:b/>
          <w:bCs/>
          <w:i/>
          <w:sz w:val="24"/>
          <w:szCs w:val="24"/>
        </w:rPr>
      </w:pPr>
      <w:r w:rsidRPr="00A30AA4">
        <w:rPr>
          <w:rFonts w:ascii="Tahoma" w:hAnsi="Tahoma"/>
          <w:b/>
          <w:sz w:val="24"/>
        </w:rPr>
        <w:t>9 standartas</w:t>
      </w:r>
    </w:p>
    <w:p w:rsidR="00DA3A70" w:rsidRPr="00A30AA4" w:rsidP="0028467E">
      <w:pPr>
        <w:spacing w:after="120"/>
        <w:rPr>
          <w:rFonts w:ascii="Tahoma" w:hAnsi="Tahoma" w:cs="Tahoma"/>
          <w:szCs w:val="24"/>
        </w:rPr>
      </w:pPr>
      <w:r w:rsidRPr="00A30AA4">
        <w:rPr>
          <w:rFonts w:ascii="Tahoma" w:hAnsi="Tahoma"/>
          <w:sz w:val="18"/>
        </w:rPr>
        <w:t xml:space="preserve">Gydant visus pacientus, reikėtų laikytis į pacientą sutelkto </w:t>
      </w:r>
      <w:r w:rsidRPr="00A30AA4">
        <w:rPr>
          <w:rFonts w:ascii="Tahoma" w:hAnsi="Tahoma"/>
          <w:sz w:val="18"/>
        </w:rPr>
        <w:t>požiūrio</w:t>
      </w:r>
      <w:r w:rsidRPr="00A30AA4">
        <w:rPr>
          <w:rFonts w:ascii="Tahoma" w:hAnsi="Tahoma"/>
          <w:sz w:val="18"/>
        </w:rPr>
        <w:t xml:space="preserve">, </w:t>
      </w:r>
      <w:r w:rsidR="008A3DCE">
        <w:rPr>
          <w:rFonts w:ascii="Tahoma" w:hAnsi="Tahoma"/>
          <w:sz w:val="18"/>
        </w:rPr>
        <w:t>kai</w:t>
      </w:r>
      <w:r w:rsidRPr="00A30AA4">
        <w:rPr>
          <w:rFonts w:ascii="Tahoma" w:hAnsi="Tahoma"/>
          <w:sz w:val="18"/>
        </w:rPr>
        <w:t xml:space="preserve"> vadovaujamasi paciento poreikiais ir užtikrinama abipusė paciento ir paslaugų teikėjo pagarba.</w:t>
      </w:r>
    </w:p>
    <w:p w:rsidR="00DA3A70" w:rsidRPr="00A30AA4" w:rsidP="00A82B43">
      <w:pPr>
        <w:shd w:val="clear" w:color="auto" w:fill="D9D9D9"/>
        <w:autoSpaceDE w:val="0"/>
        <w:autoSpaceDN w:val="0"/>
        <w:adjustRightInd w:val="0"/>
        <w:spacing w:after="0"/>
        <w:jc w:val="both"/>
        <w:rPr>
          <w:rFonts w:ascii="Tahoma" w:hAnsi="Tahoma" w:cs="Tahoma"/>
          <w:b/>
          <w:bCs/>
          <w:sz w:val="24"/>
          <w:szCs w:val="24"/>
        </w:rPr>
      </w:pPr>
      <w:r w:rsidRPr="00A30AA4">
        <w:rPr>
          <w:rFonts w:ascii="Tahoma" w:hAnsi="Tahoma"/>
          <w:b/>
          <w:sz w:val="24"/>
        </w:rPr>
        <w:t>10 standartas</w:t>
      </w:r>
    </w:p>
    <w:p w:rsidR="00DA3A70" w:rsidRPr="00A30AA4" w:rsidP="000D0DB0">
      <w:pPr>
        <w:spacing w:after="0"/>
        <w:rPr>
          <w:rFonts w:ascii="Tahoma" w:hAnsi="Tahoma" w:cs="Tahoma"/>
          <w:sz w:val="18"/>
          <w:szCs w:val="18"/>
        </w:rPr>
      </w:pPr>
      <w:r w:rsidRPr="00A30AA4">
        <w:rPr>
          <w:rFonts w:ascii="Tahoma" w:hAnsi="Tahoma"/>
          <w:sz w:val="18"/>
        </w:rPr>
        <w:t xml:space="preserve">Plaučių tuberkulioze sergančių pacientų atsaką į gydymą reikėtų stebėti atliekant kontrolinį tepinėlio mikroskopinį tyrimą ir tyrimą </w:t>
      </w:r>
      <w:r w:rsidRPr="00A30AA4">
        <w:rPr>
          <w:rFonts w:ascii="Tahoma" w:hAnsi="Tahoma"/>
          <w:sz w:val="18"/>
        </w:rPr>
        <w:t>mitybinėje</w:t>
      </w:r>
      <w:r w:rsidRPr="00A30AA4">
        <w:rPr>
          <w:rFonts w:ascii="Tahoma" w:hAnsi="Tahoma"/>
          <w:sz w:val="18"/>
        </w:rPr>
        <w:t xml:space="preserve"> terpėje bent užbaigus pirminį gydymo etapą (vaistams jautrios tuberkuliozės atveju – praėjus </w:t>
      </w:r>
      <w:r w:rsidRPr="00A30AA4">
        <w:rPr>
          <w:rFonts w:ascii="Tahoma" w:hAnsi="Tahoma"/>
          <w:sz w:val="18"/>
        </w:rPr>
        <w:t>dviems</w:t>
      </w:r>
      <w:r w:rsidRPr="00A30AA4">
        <w:rPr>
          <w:rFonts w:ascii="Tahoma" w:hAnsi="Tahoma"/>
          <w:sz w:val="18"/>
        </w:rPr>
        <w:t xml:space="preserve"> mėnesiams). </w:t>
      </w:r>
      <w:r w:rsidRPr="00A30AA4">
        <w:rPr>
          <w:rFonts w:ascii="Tahoma" w:hAnsi="Tahoma"/>
          <w:sz w:val="18"/>
        </w:rPr>
        <w:t xml:space="preserve">Jeigu užbaigus pirminį gydymo etapą skreplių tepinėlio ir (arba) </w:t>
      </w:r>
      <w:r w:rsidRPr="00A30AA4">
        <w:rPr>
          <w:rFonts w:ascii="Tahoma" w:hAnsi="Tahoma"/>
          <w:sz w:val="18"/>
        </w:rPr>
        <w:t>mitybinės</w:t>
      </w:r>
      <w:r w:rsidRPr="00A30AA4">
        <w:rPr>
          <w:rFonts w:ascii="Tahoma" w:hAnsi="Tahoma"/>
          <w:sz w:val="18"/>
        </w:rPr>
        <w:t xml:space="preserve"> terpės tyrimų rezultatai yra teigiami, reikėtų nedelsiant atlikti molekulinius atsparumo vaistams testus ir išsamesnį JVT. </w:t>
      </w:r>
      <w:r w:rsidRPr="00A30AA4">
        <w:rPr>
          <w:rFonts w:ascii="Tahoma" w:hAnsi="Tahoma"/>
          <w:sz w:val="18"/>
        </w:rPr>
        <w:t>Ekstrapulmonine</w:t>
      </w:r>
      <w:r w:rsidRPr="00A30AA4">
        <w:rPr>
          <w:rFonts w:ascii="Tahoma" w:hAnsi="Tahoma"/>
          <w:sz w:val="18"/>
        </w:rPr>
        <w:t xml:space="preserve"> tuberkulioze sergančių pacientų ir atkosėt</w:t>
      </w:r>
      <w:r w:rsidRPr="00A30AA4">
        <w:rPr>
          <w:rFonts w:ascii="Tahoma" w:hAnsi="Tahoma"/>
          <w:sz w:val="18"/>
        </w:rPr>
        <w:t xml:space="preserve">i skreplių negalinčių vaikų klinikinis atsakas į gydymą (svoris, uždegiminiai žymenys ir pakartotinis vaizdinimo tyrimas) vertinamas objektyviai. </w:t>
      </w:r>
    </w:p>
    <w:p w:rsidR="003663F5" w:rsidRPr="00A30AA4" w:rsidP="003663F5">
      <w:pPr>
        <w:pStyle w:val="EC-Title-6"/>
      </w:pPr>
      <w:r w:rsidRPr="00A30AA4">
        <w:t>Tik ES taikomi reikalavimai</w:t>
      </w:r>
    </w:p>
    <w:p w:rsidR="00DA3A70" w:rsidRPr="00A30AA4" w:rsidP="0028467E">
      <w:pPr>
        <w:spacing w:after="120"/>
        <w:rPr>
          <w:rFonts w:ascii="Tahoma" w:hAnsi="Tahoma" w:cs="Tahoma"/>
          <w:spacing w:val="-2"/>
          <w:sz w:val="18"/>
          <w:szCs w:val="18"/>
        </w:rPr>
      </w:pPr>
      <w:r w:rsidRPr="00A30AA4">
        <w:rPr>
          <w:rFonts w:ascii="Tahoma" w:hAnsi="Tahoma"/>
          <w:spacing w:val="-2"/>
          <w:sz w:val="18"/>
        </w:rPr>
        <w:t xml:space="preserve">Gydymą reikėtų stebėti vadovaujantis tarptautinėmis gairėmis [2, 3, 6–8, 18–20]. </w:t>
      </w:r>
      <w:r w:rsidRPr="00A30AA4">
        <w:rPr>
          <w:rFonts w:ascii="Tahoma" w:hAnsi="Tahoma"/>
          <w:spacing w:val="-2"/>
          <w:sz w:val="18"/>
        </w:rPr>
        <w:t xml:space="preserve">ES valstybės turi reikiamus išteklius kas mėnesį tikrinti gydymo rezultatus. Daugeliui vaistų atsparios </w:t>
      </w:r>
      <w:r w:rsidRPr="00A30AA4" w:rsidR="008A3DCE">
        <w:rPr>
          <w:rFonts w:ascii="Tahoma" w:hAnsi="Tahoma"/>
          <w:spacing w:val="-2"/>
          <w:sz w:val="18"/>
        </w:rPr>
        <w:t xml:space="preserve">(DVA) </w:t>
      </w:r>
      <w:r w:rsidRPr="00A30AA4">
        <w:rPr>
          <w:rFonts w:ascii="Tahoma" w:hAnsi="Tahoma"/>
          <w:spacing w:val="-2"/>
          <w:sz w:val="18"/>
        </w:rPr>
        <w:t xml:space="preserve">tuberkuliozės </w:t>
      </w:r>
      <w:r w:rsidRPr="00A30AA4">
        <w:rPr>
          <w:rFonts w:ascii="Tahoma" w:hAnsi="Tahoma"/>
          <w:spacing w:val="-2"/>
          <w:sz w:val="18"/>
        </w:rPr>
        <w:t>atveju toks kasmėnesinis gydymo rezultatų patikrinimas turėtų būti atliekamas atsižvelgiant į skreplių tepinėlio tyrimo ir ty</w:t>
      </w:r>
      <w:r w:rsidRPr="00A30AA4">
        <w:rPr>
          <w:rFonts w:ascii="Tahoma" w:hAnsi="Tahoma"/>
          <w:spacing w:val="-2"/>
          <w:sz w:val="18"/>
        </w:rPr>
        <w:t xml:space="preserve">rimo </w:t>
      </w:r>
      <w:r w:rsidRPr="00A30AA4">
        <w:rPr>
          <w:rFonts w:ascii="Tahoma" w:hAnsi="Tahoma"/>
          <w:spacing w:val="-2"/>
          <w:sz w:val="18"/>
        </w:rPr>
        <w:t>mitybinėje</w:t>
      </w:r>
      <w:r w:rsidRPr="00A30AA4">
        <w:rPr>
          <w:rFonts w:ascii="Tahoma" w:hAnsi="Tahoma"/>
          <w:spacing w:val="-2"/>
          <w:sz w:val="18"/>
        </w:rPr>
        <w:t xml:space="preserve"> terpėje rezultatus [21, 22].</w:t>
      </w:r>
    </w:p>
    <w:p w:rsidR="00DA3A70" w:rsidRPr="00A30AA4" w:rsidP="00BE259C">
      <w:pPr>
        <w:shd w:val="clear" w:color="auto" w:fill="D9D9D9"/>
        <w:autoSpaceDE w:val="0"/>
        <w:autoSpaceDN w:val="0"/>
        <w:adjustRightInd w:val="0"/>
        <w:spacing w:after="0"/>
        <w:jc w:val="both"/>
        <w:rPr>
          <w:rFonts w:ascii="Tahoma" w:hAnsi="Tahoma" w:cs="Tahoma"/>
          <w:b/>
          <w:bCs/>
          <w:sz w:val="24"/>
          <w:szCs w:val="24"/>
        </w:rPr>
      </w:pPr>
      <w:r w:rsidRPr="00A30AA4">
        <w:rPr>
          <w:rFonts w:ascii="Tahoma" w:hAnsi="Tahoma"/>
          <w:b/>
          <w:sz w:val="24"/>
          <w:shd w:val="clear" w:color="auto" w:fill="D9D9D9"/>
        </w:rPr>
        <w:t>11 standartas</w:t>
      </w:r>
    </w:p>
    <w:p w:rsidR="00DA3A70" w:rsidRPr="00A30AA4" w:rsidP="0028467E">
      <w:pPr>
        <w:spacing w:after="120"/>
        <w:rPr>
          <w:rFonts w:ascii="Tahoma" w:hAnsi="Tahoma" w:cs="Tahoma"/>
          <w:sz w:val="18"/>
          <w:szCs w:val="18"/>
        </w:rPr>
      </w:pPr>
      <w:r w:rsidRPr="00A30AA4">
        <w:rPr>
          <w:rFonts w:ascii="Tahoma" w:hAnsi="Tahoma"/>
          <w:sz w:val="18"/>
        </w:rPr>
        <w:t>Atsižvelgiant į anksčiau taikyto gydymo istoriją, bendravimo su vaistams atsparia tuberkulioze sergančiu asmeniu, nuo kurio pacientas galėjo užsikrėsti, faktą ir atsparumo vaistams paplitimą bendru</w:t>
      </w:r>
      <w:r w:rsidRPr="00A30AA4">
        <w:rPr>
          <w:rFonts w:ascii="Tahoma" w:hAnsi="Tahoma"/>
          <w:sz w:val="18"/>
        </w:rPr>
        <w:t>omenėje, reikėtų įvertinti atsparumo vaistams tikimybę, ypač pacientų, kurių diagnozė nebuvo bakteriologiškai patvirtinta arba kuriems negalima atlikti jautrumo vaistams tyrimų, atveju. Greiti</w:t>
      </w:r>
      <w:r w:rsidR="006F3444">
        <w:rPr>
          <w:rFonts w:ascii="Tahoma" w:hAnsi="Tahoma"/>
          <w:sz w:val="18"/>
        </w:rPr>
        <w:t>eji</w:t>
      </w:r>
      <w:r w:rsidRPr="00A30AA4">
        <w:rPr>
          <w:rFonts w:ascii="Tahoma" w:hAnsi="Tahoma"/>
          <w:sz w:val="18"/>
        </w:rPr>
        <w:t xml:space="preserve"> tyrimai (</w:t>
      </w:r>
      <w:r w:rsidRPr="00A30AA4">
        <w:rPr>
          <w:rFonts w:ascii="Tahoma" w:hAnsi="Tahoma"/>
          <w:sz w:val="18"/>
        </w:rPr>
        <w:t>rifampicinui</w:t>
      </w:r>
      <w:r w:rsidRPr="00A30AA4">
        <w:rPr>
          <w:rFonts w:ascii="Tahoma" w:hAnsi="Tahoma"/>
          <w:sz w:val="18"/>
        </w:rPr>
        <w:t xml:space="preserve"> atsparia tuberkulioze arba DVA tuberkulioze sergančių pacientų </w:t>
      </w:r>
      <w:r w:rsidRPr="00A30AA4">
        <w:rPr>
          <w:rFonts w:ascii="Tahoma" w:hAnsi="Tahoma"/>
          <w:sz w:val="18"/>
        </w:rPr>
        <w:t>genotipiniai</w:t>
      </w:r>
      <w:r w:rsidRPr="00A30AA4">
        <w:rPr>
          <w:rFonts w:ascii="Tahoma" w:hAnsi="Tahoma"/>
          <w:sz w:val="18"/>
        </w:rPr>
        <w:t xml:space="preserve"> atsparumo </w:t>
      </w:r>
      <w:r w:rsidRPr="00A30AA4">
        <w:rPr>
          <w:rFonts w:ascii="Tahoma" w:hAnsi="Tahoma"/>
          <w:sz w:val="18"/>
        </w:rPr>
        <w:t>rifampicinui</w:t>
      </w:r>
      <w:r w:rsidRPr="00A30AA4">
        <w:rPr>
          <w:rFonts w:ascii="Tahoma" w:hAnsi="Tahoma"/>
          <w:sz w:val="18"/>
        </w:rPr>
        <w:t xml:space="preserve"> ir </w:t>
      </w:r>
      <w:r w:rsidRPr="00A30AA4">
        <w:rPr>
          <w:rFonts w:ascii="Tahoma" w:hAnsi="Tahoma"/>
          <w:sz w:val="18"/>
        </w:rPr>
        <w:t>izoniazidui</w:t>
      </w:r>
      <w:r w:rsidRPr="00A30AA4">
        <w:rPr>
          <w:rFonts w:ascii="Tahoma" w:hAnsi="Tahoma"/>
          <w:sz w:val="18"/>
        </w:rPr>
        <w:t xml:space="preserve"> tyrimai ir </w:t>
      </w:r>
      <w:r w:rsidRPr="00A30AA4">
        <w:rPr>
          <w:rFonts w:ascii="Tahoma" w:hAnsi="Tahoma"/>
          <w:sz w:val="18"/>
        </w:rPr>
        <w:t>genotipiniai</w:t>
      </w:r>
      <w:r w:rsidRPr="00A30AA4">
        <w:rPr>
          <w:rFonts w:ascii="Tahoma" w:hAnsi="Tahoma"/>
          <w:sz w:val="18"/>
        </w:rPr>
        <w:t xml:space="preserve"> </w:t>
      </w:r>
      <w:r w:rsidR="008A3DCE">
        <w:rPr>
          <w:rFonts w:ascii="Tahoma" w:hAnsi="Tahoma"/>
          <w:sz w:val="18"/>
        </w:rPr>
        <w:t xml:space="preserve">/ </w:t>
      </w:r>
      <w:r w:rsidRPr="00A30AA4">
        <w:rPr>
          <w:rFonts w:ascii="Tahoma" w:hAnsi="Tahoma"/>
          <w:sz w:val="18"/>
        </w:rPr>
        <w:t>fenotipiniai</w:t>
      </w:r>
      <w:r w:rsidRPr="00A30AA4">
        <w:rPr>
          <w:rFonts w:ascii="Tahoma" w:hAnsi="Tahoma"/>
          <w:sz w:val="18"/>
        </w:rPr>
        <w:t xml:space="preserve"> atsparumo antros eilės vaistams tyrimai) turėtų būti atlikti visiems pacientam</w:t>
      </w:r>
      <w:r w:rsidRPr="00A30AA4">
        <w:rPr>
          <w:rFonts w:ascii="Tahoma" w:hAnsi="Tahoma"/>
          <w:sz w:val="18"/>
        </w:rPr>
        <w:t>s, kaip apibrėžta 2–4 ir 8 standartuose. Be to, reikėtų nedelsiant pradėti konsultuoti ir šviesti visus tuberkulioze sergančius pacientus, siekiant kuo labiau sumažinti šios ligos plitimo galimybes. Turėtų būti taikomos pagal aplinkybes tinkamos infekcij</w:t>
      </w:r>
      <w:r w:rsidR="006F3444">
        <w:rPr>
          <w:rFonts w:ascii="Tahoma" w:hAnsi="Tahoma"/>
          <w:sz w:val="18"/>
        </w:rPr>
        <w:t>ų</w:t>
      </w:r>
      <w:r w:rsidRPr="00A30AA4">
        <w:rPr>
          <w:rFonts w:ascii="Tahoma" w:hAnsi="Tahoma"/>
          <w:sz w:val="18"/>
        </w:rPr>
        <w:t xml:space="preserve"> kontrolės priemonės, kaip rekomenduojama ESSTPS visuomenės sveikatos 20 standarte.</w:t>
      </w:r>
    </w:p>
    <w:p w:rsidR="00DA3A70" w:rsidRPr="00A30AA4" w:rsidP="00DB519A">
      <w:pPr>
        <w:shd w:val="clear" w:color="auto" w:fill="D9D9D9"/>
        <w:autoSpaceDE w:val="0"/>
        <w:autoSpaceDN w:val="0"/>
        <w:adjustRightInd w:val="0"/>
        <w:spacing w:after="0"/>
        <w:jc w:val="both"/>
        <w:rPr>
          <w:rFonts w:ascii="Tahoma" w:hAnsi="Tahoma" w:cs="Tahoma"/>
          <w:b/>
          <w:bCs/>
          <w:sz w:val="24"/>
          <w:szCs w:val="24"/>
        </w:rPr>
      </w:pPr>
      <w:r w:rsidRPr="00A30AA4">
        <w:rPr>
          <w:rFonts w:ascii="Tahoma" w:hAnsi="Tahoma"/>
          <w:b/>
          <w:sz w:val="24"/>
          <w:shd w:val="clear" w:color="auto" w:fill="D9D9D9"/>
        </w:rPr>
        <w:t xml:space="preserve">12 standartas </w:t>
      </w:r>
    </w:p>
    <w:p w:rsidR="00DA3A70" w:rsidRPr="00A30AA4" w:rsidP="0028467E">
      <w:pPr>
        <w:spacing w:after="120"/>
        <w:rPr>
          <w:rFonts w:ascii="Tahoma" w:hAnsi="Tahoma" w:cs="Tahoma"/>
          <w:sz w:val="18"/>
          <w:szCs w:val="18"/>
        </w:rPr>
      </w:pPr>
      <w:r w:rsidRPr="00A30AA4">
        <w:rPr>
          <w:rFonts w:ascii="Tahoma" w:hAnsi="Tahoma"/>
          <w:sz w:val="18"/>
        </w:rPr>
        <w:t xml:space="preserve">Pacientai, kurie serga arba labai tikėtina, kad serga vaistams atsparių (ypač </w:t>
      </w:r>
      <w:r w:rsidRPr="00A30AA4">
        <w:rPr>
          <w:rFonts w:ascii="Tahoma" w:hAnsi="Tahoma"/>
          <w:sz w:val="18"/>
        </w:rPr>
        <w:t>rifampicinui</w:t>
      </w:r>
      <w:r w:rsidRPr="00A30AA4">
        <w:rPr>
          <w:rFonts w:ascii="Tahoma" w:hAnsi="Tahoma"/>
          <w:sz w:val="18"/>
        </w:rPr>
        <w:t xml:space="preserve"> atsparių / DVA / itin vaistams atsparių (IVA)) organizmų sukelta </w:t>
      </w:r>
      <w:r w:rsidRPr="00A30AA4">
        <w:rPr>
          <w:rFonts w:ascii="Tahoma" w:hAnsi="Tahoma"/>
          <w:sz w:val="18"/>
        </w:rPr>
        <w:t>tuberkulioze, turėtų būti gydomi pagal individualiai pritaikytą gydymo režimą, į kurį turėtų būti įtraukti antros eilės ir papildomi vaistai nuo tuberkuliozės. Gydymo režimą reikėtų parinkti atsižvelgiant į patvirtintus jautrumo vaistams ypatumus. Empirini</w:t>
      </w:r>
      <w:r w:rsidRPr="00A30AA4">
        <w:rPr>
          <w:rFonts w:ascii="Tahoma" w:hAnsi="Tahoma"/>
          <w:sz w:val="18"/>
        </w:rPr>
        <w:t xml:space="preserve">ai gydymo režimai gali paskatinti tolesnį atsparumo vystymąsi ir jie nerekomenduojami, išskyrus tuos atvejus, kai tuberkuliozės tyrimo </w:t>
      </w:r>
      <w:r w:rsidRPr="00A30AA4">
        <w:rPr>
          <w:rFonts w:ascii="Tahoma" w:hAnsi="Tahoma"/>
          <w:sz w:val="18"/>
        </w:rPr>
        <w:t>mitybinėje</w:t>
      </w:r>
      <w:r w:rsidRPr="00A30AA4">
        <w:rPr>
          <w:rFonts w:ascii="Tahoma" w:hAnsi="Tahoma"/>
          <w:sz w:val="18"/>
        </w:rPr>
        <w:t xml:space="preserve"> terpėje rezultatas yra neigiamas.</w:t>
      </w:r>
    </w:p>
    <w:p w:rsidR="00083CEE" w:rsidRPr="00A30AA4" w:rsidP="00083CEE">
      <w:pPr>
        <w:spacing w:after="120"/>
        <w:rPr>
          <w:rFonts w:ascii="Tahoma" w:hAnsi="Tahoma" w:cs="Tahoma"/>
          <w:sz w:val="18"/>
          <w:szCs w:val="18"/>
        </w:rPr>
      </w:pPr>
      <w:r w:rsidRPr="00A30AA4">
        <w:rPr>
          <w:rFonts w:ascii="Tahoma" w:hAnsi="Tahoma"/>
          <w:sz w:val="18"/>
        </w:rPr>
        <w:t>Atsižvelgiant į jautrumo vaistams ypatumus, gydymą ne mažiau kaip penkiais v</w:t>
      </w:r>
      <w:r w:rsidRPr="00A30AA4">
        <w:rPr>
          <w:rFonts w:ascii="Tahoma" w:hAnsi="Tahoma"/>
          <w:sz w:val="18"/>
        </w:rPr>
        <w:t xml:space="preserve">eiksmingais vaistais nuo tuberkuliozės reikėtų tęsti bent 20 mėnesių [5]. Jeigu pacientas atitinka nustatytus kriterijus, jam galima taikyti standartinį trumpesnį (9–11 mėnesių trukmės) DVA tuberkuliozės gydymo režimą. </w:t>
      </w:r>
    </w:p>
    <w:p w:rsidR="00083CEE" w:rsidRPr="00A30AA4" w:rsidP="0028467E">
      <w:r w:rsidRPr="00A30AA4">
        <w:br w:type="page"/>
      </w:r>
    </w:p>
    <w:p w:rsidR="00835340" w:rsidRPr="00A30AA4" w:rsidP="00835340">
      <w:pPr>
        <w:pStyle w:val="EC-Title-6"/>
      </w:pPr>
      <w:r w:rsidRPr="00A30AA4">
        <w:t>Tik ES taikomi reikalavimai</w:t>
      </w:r>
    </w:p>
    <w:p w:rsidR="00DA3A70" w:rsidRPr="00A30AA4" w:rsidP="0028467E">
      <w:pPr>
        <w:spacing w:after="120"/>
        <w:rPr>
          <w:rFonts w:ascii="Tahoma" w:hAnsi="Tahoma" w:cs="Tahoma"/>
          <w:sz w:val="18"/>
          <w:szCs w:val="18"/>
        </w:rPr>
      </w:pPr>
      <w:r w:rsidRPr="00A30AA4">
        <w:rPr>
          <w:rFonts w:ascii="Tahoma" w:hAnsi="Tahoma"/>
          <w:sz w:val="18"/>
        </w:rPr>
        <w:t>Kadang</w:t>
      </w:r>
      <w:r w:rsidRPr="00A30AA4">
        <w:rPr>
          <w:rFonts w:ascii="Tahoma" w:hAnsi="Tahoma"/>
          <w:sz w:val="18"/>
        </w:rPr>
        <w:t>i DVA / IVA tuberkuliozės gydymas neretai yra paskutinė galimybė užtikrinti paciento išgijimą ir išgyvenimą, siekiant užtikrinti, kad pacientas laikytųsi gydymo nurodymų, būtina taikyti visas įmanomas į pacientą sutelktas priemones, įskaitant konsultavimą,</w:t>
      </w:r>
      <w:r w:rsidRPr="00A30AA4">
        <w:rPr>
          <w:rFonts w:ascii="Tahoma" w:hAnsi="Tahoma"/>
          <w:sz w:val="18"/>
        </w:rPr>
        <w:t xml:space="preserve"> stebėjimą ir paramą gydymo laikotarpiu, taip pat teikti psichologinę </w:t>
      </w:r>
      <w:r w:rsidRPr="00A30AA4" w:rsidR="006F3444">
        <w:rPr>
          <w:rFonts w:ascii="Tahoma" w:hAnsi="Tahoma"/>
          <w:sz w:val="18"/>
        </w:rPr>
        <w:t>–</w:t>
      </w:r>
      <w:r w:rsidR="008A3DCE">
        <w:rPr>
          <w:rFonts w:ascii="Tahoma" w:hAnsi="Tahoma"/>
          <w:sz w:val="18"/>
        </w:rPr>
        <w:t xml:space="preserve"> </w:t>
      </w:r>
      <w:r w:rsidRPr="00A30AA4">
        <w:rPr>
          <w:rFonts w:ascii="Tahoma" w:hAnsi="Tahoma"/>
          <w:sz w:val="18"/>
        </w:rPr>
        <w:t>socialinę pagalbą [5, 23–25]. Tai itin svarbu atsižvelgiant į tai, kad šie pacientai neretai yra palankių socialinių ir ekonominių sąlygų neturintys asmenys.</w:t>
      </w:r>
    </w:p>
    <w:p w:rsidR="00DA3A70" w:rsidRPr="00A30AA4" w:rsidP="0028467E">
      <w:pPr>
        <w:spacing w:after="120"/>
        <w:rPr>
          <w:rFonts w:ascii="Tahoma" w:hAnsi="Tahoma" w:cs="Tahoma"/>
          <w:sz w:val="18"/>
          <w:szCs w:val="18"/>
        </w:rPr>
      </w:pPr>
      <w:r w:rsidRPr="00A30AA4">
        <w:rPr>
          <w:rFonts w:ascii="Tahoma" w:hAnsi="Tahoma"/>
          <w:sz w:val="18"/>
        </w:rPr>
        <w:t xml:space="preserve">Gydant DVA tuberkuliozę, pacientui, kuriam dokumentais patvirtintas (molekuliniu arba fenotipiniu JVT nustatytas) toks ligos atsparumas vaistams, </w:t>
      </w:r>
      <w:r w:rsidRPr="00D045DD">
        <w:rPr>
          <w:rFonts w:ascii="Tahoma" w:hAnsi="Tahoma"/>
          <w:sz w:val="18"/>
        </w:rPr>
        <w:t>negalima skirti jokio vaisto</w:t>
      </w:r>
      <w:r w:rsidR="00D045DD">
        <w:rPr>
          <w:rFonts w:ascii="Tahoma" w:hAnsi="Tahoma"/>
          <w:sz w:val="18"/>
        </w:rPr>
        <w:t xml:space="preserve">, kol nebus </w:t>
      </w:r>
      <w:r w:rsidRPr="00A30AA4" w:rsidR="00D045DD">
        <w:rPr>
          <w:rFonts w:ascii="Tahoma" w:hAnsi="Tahoma"/>
          <w:sz w:val="18"/>
        </w:rPr>
        <w:t>atliktas jautrumo antros eilės vaistams tyrimas</w:t>
      </w:r>
      <w:r w:rsidR="00D045DD">
        <w:rPr>
          <w:rFonts w:ascii="Tahoma" w:hAnsi="Tahoma"/>
          <w:sz w:val="18"/>
        </w:rPr>
        <w:t xml:space="preserve">, </w:t>
      </w:r>
      <w:r w:rsidRPr="00A30AA4">
        <w:rPr>
          <w:rFonts w:ascii="Tahoma" w:hAnsi="Tahoma"/>
          <w:sz w:val="18"/>
        </w:rPr>
        <w:t>siekiant pat</w:t>
      </w:r>
      <w:r w:rsidRPr="00A30AA4">
        <w:rPr>
          <w:rFonts w:ascii="Tahoma" w:hAnsi="Tahoma"/>
          <w:sz w:val="18"/>
        </w:rPr>
        <w:t>virtinti atsparumo vaistams ypatumus ir parinkti tinkamą gydymą</w:t>
      </w:r>
      <w:r w:rsidR="00D045DD">
        <w:rPr>
          <w:rFonts w:ascii="Tahoma" w:hAnsi="Tahoma"/>
          <w:sz w:val="18"/>
        </w:rPr>
        <w:t xml:space="preserve">. </w:t>
      </w:r>
      <w:r w:rsidRPr="00A30AA4">
        <w:rPr>
          <w:rFonts w:ascii="Tahoma" w:hAnsi="Tahoma"/>
          <w:sz w:val="18"/>
        </w:rPr>
        <w:t>.</w:t>
      </w:r>
    </w:p>
    <w:p w:rsidR="00DA3A70" w:rsidRPr="00A30AA4" w:rsidP="0028467E">
      <w:pPr>
        <w:spacing w:after="120"/>
        <w:rPr>
          <w:rFonts w:ascii="Tahoma" w:hAnsi="Tahoma" w:cs="Tahoma"/>
          <w:sz w:val="18"/>
          <w:szCs w:val="18"/>
        </w:rPr>
      </w:pPr>
      <w:r w:rsidRPr="00A30AA4">
        <w:rPr>
          <w:rFonts w:ascii="Tahoma" w:hAnsi="Tahoma"/>
          <w:sz w:val="18"/>
        </w:rPr>
        <w:t xml:space="preserve">ES ir (arba) EEE valstybėse jautrumo </w:t>
      </w:r>
      <w:r w:rsidRPr="00A30AA4">
        <w:rPr>
          <w:rFonts w:ascii="Tahoma" w:hAnsi="Tahoma"/>
          <w:sz w:val="18"/>
        </w:rPr>
        <w:t>etambutoliui</w:t>
      </w:r>
      <w:r w:rsidRPr="00A30AA4">
        <w:rPr>
          <w:rFonts w:ascii="Tahoma" w:hAnsi="Tahoma"/>
          <w:sz w:val="18"/>
        </w:rPr>
        <w:t xml:space="preserve"> tyrimas laikomas patikimu, jeigu jis atliekamas užtikrintos kokybės paslaugas </w:t>
      </w:r>
      <w:r w:rsidRPr="00A30AA4">
        <w:rPr>
          <w:rFonts w:ascii="Tahoma" w:hAnsi="Tahoma"/>
          <w:sz w:val="18"/>
        </w:rPr>
        <w:t xml:space="preserve">teikiančioje laboratorijoje [26]. Atsparumą </w:t>
      </w:r>
      <w:r w:rsidRPr="00A30AA4">
        <w:rPr>
          <w:rFonts w:ascii="Tahoma" w:hAnsi="Tahoma"/>
          <w:sz w:val="18"/>
        </w:rPr>
        <w:t>pirazinamidui</w:t>
      </w:r>
      <w:r w:rsidRPr="00A30AA4">
        <w:rPr>
          <w:rFonts w:ascii="Tahoma" w:hAnsi="Tahoma"/>
          <w:sz w:val="18"/>
        </w:rPr>
        <w:t xml:space="preserve"> galima patikrinti atliekant </w:t>
      </w:r>
      <w:r w:rsidRPr="00A30AA4">
        <w:rPr>
          <w:rFonts w:ascii="Tahoma" w:hAnsi="Tahoma"/>
          <w:sz w:val="18"/>
        </w:rPr>
        <w:t>genotipinį</w:t>
      </w:r>
      <w:r w:rsidRPr="00A30AA4">
        <w:rPr>
          <w:rFonts w:ascii="Tahoma" w:hAnsi="Tahoma"/>
          <w:sz w:val="18"/>
        </w:rPr>
        <w:t xml:space="preserve"> (siekiant nustatyti </w:t>
      </w:r>
      <w:r w:rsidRPr="00A30AA4">
        <w:rPr>
          <w:rFonts w:ascii="Tahoma" w:hAnsi="Tahoma"/>
          <w:i/>
          <w:sz w:val="18"/>
        </w:rPr>
        <w:t>pncA</w:t>
      </w:r>
      <w:r w:rsidRPr="00A30AA4">
        <w:rPr>
          <w:rFonts w:ascii="Tahoma" w:hAnsi="Tahoma"/>
          <w:sz w:val="18"/>
        </w:rPr>
        <w:t xml:space="preserve"> geno mutacijas) arba fenotipinį tyrimą (t. y. taikant augimu pagrįstus (skystos terpės) automatizuotus metodus).</w:t>
      </w:r>
    </w:p>
    <w:p w:rsidR="00DA3A70" w:rsidRPr="00A30AA4" w:rsidP="0028467E">
      <w:pPr>
        <w:spacing w:after="120"/>
        <w:rPr>
          <w:rFonts w:ascii="Tahoma" w:hAnsi="Tahoma" w:cs="Tahoma"/>
          <w:sz w:val="18"/>
          <w:szCs w:val="18"/>
        </w:rPr>
      </w:pPr>
      <w:r w:rsidRPr="00A30AA4">
        <w:rPr>
          <w:rFonts w:ascii="Tahoma" w:hAnsi="Tahoma"/>
          <w:sz w:val="18"/>
        </w:rPr>
        <w:t>Į individualiai prita</w:t>
      </w:r>
      <w:r w:rsidRPr="00A30AA4">
        <w:rPr>
          <w:rFonts w:ascii="Tahoma" w:hAnsi="Tahoma"/>
          <w:sz w:val="18"/>
        </w:rPr>
        <w:t xml:space="preserve">ikytą gydymo režimą turėtų būti įtraukti bent penki veiksmingi vaistai nuo tuberkuliozės, kurie turėtų būti vartojami intensyvaus gydymo etape, įskaitant </w:t>
      </w:r>
      <w:r w:rsidRPr="00A30AA4">
        <w:rPr>
          <w:rFonts w:ascii="Tahoma" w:hAnsi="Tahoma"/>
          <w:sz w:val="18"/>
        </w:rPr>
        <w:t>pirazinamidą</w:t>
      </w:r>
      <w:r w:rsidRPr="00A30AA4">
        <w:rPr>
          <w:rFonts w:ascii="Tahoma" w:hAnsi="Tahoma"/>
          <w:sz w:val="18"/>
        </w:rPr>
        <w:t xml:space="preserve"> ir keturis pagrindinius antros eilės vaistus nuo tuberkuliozės. Vaistus reikėtų pasirinkt</w:t>
      </w:r>
      <w:r w:rsidRPr="00A30AA4">
        <w:rPr>
          <w:rFonts w:ascii="Tahoma" w:hAnsi="Tahoma"/>
          <w:sz w:val="18"/>
        </w:rPr>
        <w:t>i taip: vieną vaistą – iš A grupės, vieną – iš B grupės ir bent du vaistus – iš C grupės (lentelė). Jeigu minimalaus penkių veiksmingų vaistų nuo tuberkuliozės derinio nepavyksta sudaryti iš vaistų, įtrauktų į A–C grupes, juos galima papildyti vaistu iš D2</w:t>
      </w:r>
      <w:r w:rsidRPr="00A30AA4">
        <w:rPr>
          <w:rFonts w:ascii="Tahoma" w:hAnsi="Tahoma"/>
          <w:sz w:val="18"/>
        </w:rPr>
        <w:t xml:space="preserve"> grupės ir kitais vaistais iš D3 grupės, kad iš viso susidarytų penki vaistai. Jeigu pacientas negali vartoti </w:t>
      </w:r>
      <w:r w:rsidRPr="00A30AA4">
        <w:rPr>
          <w:rFonts w:ascii="Tahoma" w:hAnsi="Tahoma"/>
          <w:sz w:val="18"/>
        </w:rPr>
        <w:t>pirazinamido</w:t>
      </w:r>
      <w:r w:rsidRPr="00A30AA4">
        <w:rPr>
          <w:rFonts w:ascii="Tahoma" w:hAnsi="Tahoma"/>
          <w:sz w:val="18"/>
        </w:rPr>
        <w:t xml:space="preserve"> (pvz., dėl atsparumo ar toksinio poveikio), siekiant kuo didesnio gydymo režimo veiksmingumo, jį reikia papildyti dar vienu vaistu iš</w:t>
      </w:r>
      <w:r w:rsidRPr="00A30AA4">
        <w:rPr>
          <w:rFonts w:ascii="Tahoma" w:hAnsi="Tahoma"/>
          <w:sz w:val="18"/>
        </w:rPr>
        <w:t xml:space="preserve"> C arba D grupės. Bendra gydymo trukmė svyruoja nuo 20 iki 24 mėnesių, iš kurių 8 mėnesius rekomenduojama taikyti intensyvų gydymą [5]. </w:t>
      </w:r>
    </w:p>
    <w:p w:rsidR="00DA3A70" w:rsidRPr="00A30AA4" w:rsidP="0028467E">
      <w:pPr>
        <w:spacing w:after="120"/>
        <w:rPr>
          <w:rFonts w:ascii="Tahoma" w:hAnsi="Tahoma" w:cs="Tahoma"/>
          <w:sz w:val="18"/>
          <w:szCs w:val="18"/>
          <w:highlight w:val="yellow"/>
        </w:rPr>
      </w:pPr>
      <w:r w:rsidRPr="00A30AA4">
        <w:rPr>
          <w:rFonts w:ascii="Tahoma" w:hAnsi="Tahoma"/>
          <w:sz w:val="18"/>
        </w:rPr>
        <w:t>Rifampicinui</w:t>
      </w:r>
      <w:r w:rsidRPr="00A30AA4">
        <w:rPr>
          <w:rFonts w:ascii="Tahoma" w:hAnsi="Tahoma"/>
          <w:sz w:val="18"/>
        </w:rPr>
        <w:t xml:space="preserve"> atsparia arba DVA tuberkulioze sergantiems pacientams, kuriems anksčiau netaikytas gydymas antros eilės va</w:t>
      </w:r>
      <w:r w:rsidRPr="00A30AA4">
        <w:rPr>
          <w:rFonts w:ascii="Tahoma" w:hAnsi="Tahoma"/>
          <w:sz w:val="18"/>
        </w:rPr>
        <w:t xml:space="preserve">istais ir kuriems buvo atmesta atsparumo </w:t>
      </w:r>
      <w:r w:rsidRPr="00A30AA4">
        <w:rPr>
          <w:rFonts w:ascii="Tahoma" w:hAnsi="Tahoma"/>
          <w:sz w:val="18"/>
        </w:rPr>
        <w:t>flurochinolonams</w:t>
      </w:r>
      <w:r w:rsidRPr="00A30AA4">
        <w:rPr>
          <w:rFonts w:ascii="Tahoma" w:hAnsi="Tahoma"/>
          <w:sz w:val="18"/>
        </w:rPr>
        <w:t xml:space="preserve"> ir antros eilės švirkščiamiesiems vaistams galimybė arba ji labai maža, PSO rekomenduoja trumpesnį 9–11 mėnesių DVA tuberkuliozės gydymo laikotarpį [5, 25, 27]. </w:t>
      </w:r>
    </w:p>
    <w:p w:rsidR="00DA3A70" w:rsidRPr="00A30AA4" w:rsidP="0028467E">
      <w:pPr>
        <w:spacing w:after="120"/>
        <w:rPr>
          <w:rFonts w:ascii="Tahoma" w:hAnsi="Tahoma" w:cs="Tahoma"/>
          <w:sz w:val="18"/>
          <w:szCs w:val="18"/>
        </w:rPr>
      </w:pPr>
      <w:r w:rsidRPr="00A30AA4">
        <w:rPr>
          <w:rFonts w:ascii="Tahoma" w:hAnsi="Tahoma"/>
          <w:sz w:val="18"/>
        </w:rPr>
        <w:t xml:space="preserve">IVA tuberkulioze sergantiems pacientams arba pacientams, užsikrėtusiems </w:t>
      </w:r>
      <w:r w:rsidRPr="00A30AA4">
        <w:rPr>
          <w:rFonts w:ascii="Tahoma" w:hAnsi="Tahoma"/>
          <w:sz w:val="18"/>
        </w:rPr>
        <w:t>flurochinolonams</w:t>
      </w:r>
      <w:r w:rsidRPr="00A30AA4">
        <w:rPr>
          <w:rFonts w:ascii="Tahoma" w:hAnsi="Tahoma"/>
          <w:sz w:val="18"/>
        </w:rPr>
        <w:t xml:space="preserve"> ar antros eilės švirkščiamiesiems vaistams atspariomis padermėmis, būtinas gydymas naujais vaistais, įskaitant </w:t>
      </w:r>
      <w:r w:rsidRPr="00A30AA4">
        <w:rPr>
          <w:rFonts w:ascii="Tahoma" w:hAnsi="Tahoma"/>
          <w:sz w:val="18"/>
        </w:rPr>
        <w:t>bedakviliną</w:t>
      </w:r>
      <w:r w:rsidRPr="00A30AA4">
        <w:rPr>
          <w:rFonts w:ascii="Tahoma" w:hAnsi="Tahoma"/>
          <w:sz w:val="18"/>
        </w:rPr>
        <w:t xml:space="preserve"> ir </w:t>
      </w:r>
      <w:r w:rsidRPr="00A30AA4">
        <w:rPr>
          <w:rFonts w:ascii="Tahoma" w:hAnsi="Tahoma"/>
          <w:sz w:val="18"/>
        </w:rPr>
        <w:t>delamanidą</w:t>
      </w:r>
      <w:r w:rsidRPr="00A30AA4">
        <w:rPr>
          <w:rFonts w:ascii="Tahoma" w:hAnsi="Tahoma"/>
          <w:sz w:val="18"/>
        </w:rPr>
        <w:t>, ir pagal papildomas indikacij</w:t>
      </w:r>
      <w:r w:rsidRPr="00A30AA4">
        <w:rPr>
          <w:rFonts w:ascii="Tahoma" w:hAnsi="Tahoma"/>
          <w:sz w:val="18"/>
        </w:rPr>
        <w:t xml:space="preserve">as vartojamais vaistais, kaip antai </w:t>
      </w:r>
      <w:r w:rsidRPr="00A30AA4">
        <w:rPr>
          <w:rFonts w:ascii="Tahoma" w:hAnsi="Tahoma"/>
          <w:sz w:val="18"/>
        </w:rPr>
        <w:t>linezolidu</w:t>
      </w:r>
      <w:r w:rsidRPr="00A30AA4">
        <w:rPr>
          <w:rFonts w:ascii="Tahoma" w:hAnsi="Tahoma"/>
          <w:sz w:val="18"/>
        </w:rPr>
        <w:t xml:space="preserve"> ir </w:t>
      </w:r>
      <w:r w:rsidRPr="00A30AA4">
        <w:rPr>
          <w:rFonts w:ascii="Tahoma" w:hAnsi="Tahoma"/>
          <w:sz w:val="18"/>
        </w:rPr>
        <w:t>klofazaminu</w:t>
      </w:r>
      <w:r w:rsidRPr="00A30AA4">
        <w:rPr>
          <w:rFonts w:ascii="Tahoma" w:hAnsi="Tahoma"/>
          <w:sz w:val="18"/>
        </w:rPr>
        <w:t xml:space="preserve">, taip pat antros eilės vaistais, kuriems </w:t>
      </w:r>
      <w:r w:rsidRPr="00A30AA4">
        <w:rPr>
          <w:rFonts w:ascii="Tahoma" w:hAnsi="Tahoma"/>
          <w:i/>
          <w:sz w:val="18"/>
        </w:rPr>
        <w:t>M. </w:t>
      </w:r>
      <w:r w:rsidRPr="00A30AA4">
        <w:rPr>
          <w:rFonts w:ascii="Tahoma" w:hAnsi="Tahoma"/>
          <w:i/>
          <w:sz w:val="18"/>
        </w:rPr>
        <w:t>tuberculosis</w:t>
      </w:r>
      <w:r w:rsidRPr="00A30AA4">
        <w:rPr>
          <w:rFonts w:ascii="Tahoma" w:hAnsi="Tahoma"/>
          <w:sz w:val="18"/>
        </w:rPr>
        <w:t xml:space="preserve"> padermė veikiausiai bus jautri [28, 29]. Pacientams, kuriems </w:t>
      </w:r>
      <w:r w:rsidRPr="00A30AA4">
        <w:rPr>
          <w:rFonts w:ascii="Tahoma" w:hAnsi="Tahoma"/>
          <w:sz w:val="18"/>
        </w:rPr>
        <w:t>fluorochinolonai</w:t>
      </w:r>
      <w:r w:rsidRPr="00A30AA4">
        <w:rPr>
          <w:rFonts w:ascii="Tahoma" w:hAnsi="Tahoma"/>
          <w:sz w:val="18"/>
        </w:rPr>
        <w:t xml:space="preserve"> arba antros eilės švirkščiamieji vaistai sukelia sunki</w:t>
      </w:r>
      <w:r w:rsidR="008A3DCE">
        <w:rPr>
          <w:rFonts w:ascii="Tahoma" w:hAnsi="Tahoma"/>
          <w:sz w:val="18"/>
        </w:rPr>
        <w:t>a</w:t>
      </w:r>
      <w:r w:rsidRPr="00A30AA4">
        <w:rPr>
          <w:rFonts w:ascii="Tahoma" w:hAnsi="Tahoma"/>
          <w:sz w:val="18"/>
        </w:rPr>
        <w:t xml:space="preserve">s </w:t>
      </w:r>
      <w:r w:rsidRPr="00A30AA4">
        <w:rPr>
          <w:rFonts w:ascii="Tahoma" w:hAnsi="Tahoma"/>
          <w:sz w:val="18"/>
        </w:rPr>
        <w:t>nepageidaujam</w:t>
      </w:r>
      <w:r w:rsidR="008A3DCE">
        <w:rPr>
          <w:rFonts w:ascii="Tahoma" w:hAnsi="Tahoma"/>
          <w:sz w:val="18"/>
        </w:rPr>
        <w:t>a</w:t>
      </w:r>
      <w:r w:rsidRPr="00A30AA4">
        <w:rPr>
          <w:rFonts w:ascii="Tahoma" w:hAnsi="Tahoma"/>
          <w:sz w:val="18"/>
        </w:rPr>
        <w:t xml:space="preserve">s </w:t>
      </w:r>
      <w:r w:rsidR="008A3DCE">
        <w:rPr>
          <w:rFonts w:ascii="Tahoma" w:hAnsi="Tahoma"/>
          <w:sz w:val="18"/>
        </w:rPr>
        <w:t>reakcijas</w:t>
      </w:r>
      <w:r w:rsidRPr="00A30AA4">
        <w:rPr>
          <w:rFonts w:ascii="Tahoma" w:hAnsi="Tahoma"/>
          <w:sz w:val="18"/>
        </w:rPr>
        <w:t>, taip pat galima apsvarstyti galimybę skirti naujus ir pagal papildomas indikacijas vartojamus vaistus.</w:t>
      </w:r>
    </w:p>
    <w:p w:rsidR="00DA3A70" w:rsidRPr="00A30AA4" w:rsidP="000D0DB0">
      <w:pPr>
        <w:rPr>
          <w:rFonts w:ascii="Tahoma" w:hAnsi="Tahoma" w:cs="Tahoma"/>
          <w:spacing w:val="-2"/>
          <w:sz w:val="18"/>
          <w:szCs w:val="18"/>
        </w:rPr>
      </w:pPr>
      <w:r w:rsidRPr="00A30AA4">
        <w:rPr>
          <w:rFonts w:ascii="Tahoma" w:hAnsi="Tahoma"/>
          <w:spacing w:val="-2"/>
          <w:sz w:val="18"/>
        </w:rPr>
        <w:t>Antros eilės vaistų sukeliam</w:t>
      </w:r>
      <w:r w:rsidR="008A3DCE">
        <w:rPr>
          <w:rFonts w:ascii="Tahoma" w:hAnsi="Tahoma"/>
          <w:spacing w:val="-2"/>
          <w:sz w:val="18"/>
        </w:rPr>
        <w:t>a</w:t>
      </w:r>
      <w:r w:rsidRPr="00A30AA4">
        <w:rPr>
          <w:rFonts w:ascii="Tahoma" w:hAnsi="Tahoma"/>
          <w:spacing w:val="-2"/>
          <w:sz w:val="18"/>
        </w:rPr>
        <w:t>s nepageidaujam</w:t>
      </w:r>
      <w:r w:rsidR="008A3DCE">
        <w:rPr>
          <w:rFonts w:ascii="Tahoma" w:hAnsi="Tahoma"/>
          <w:spacing w:val="-2"/>
          <w:sz w:val="18"/>
        </w:rPr>
        <w:t>a</w:t>
      </w:r>
      <w:r w:rsidRPr="00A30AA4">
        <w:rPr>
          <w:rFonts w:ascii="Tahoma" w:hAnsi="Tahoma"/>
          <w:spacing w:val="-2"/>
          <w:sz w:val="18"/>
        </w:rPr>
        <w:t xml:space="preserve">s </w:t>
      </w:r>
      <w:r w:rsidR="008A3DCE">
        <w:rPr>
          <w:rFonts w:ascii="Tahoma" w:hAnsi="Tahoma"/>
          <w:spacing w:val="-2"/>
          <w:sz w:val="18"/>
        </w:rPr>
        <w:t>reakcijas</w:t>
      </w:r>
      <w:r w:rsidRPr="00A30AA4" w:rsidR="008A3DCE">
        <w:rPr>
          <w:rFonts w:ascii="Tahoma" w:hAnsi="Tahoma"/>
          <w:spacing w:val="-2"/>
          <w:sz w:val="18"/>
        </w:rPr>
        <w:t xml:space="preserve"> </w:t>
      </w:r>
      <w:r w:rsidRPr="00A30AA4">
        <w:rPr>
          <w:rFonts w:ascii="Tahoma" w:hAnsi="Tahoma"/>
          <w:spacing w:val="-2"/>
          <w:sz w:val="18"/>
        </w:rPr>
        <w:t>reikėtų kontroliuoti vadovaujantis tarptautin</w:t>
      </w:r>
      <w:r w:rsidRPr="00A30AA4">
        <w:rPr>
          <w:rFonts w:ascii="Tahoma" w:hAnsi="Tahoma"/>
          <w:spacing w:val="-2"/>
          <w:sz w:val="18"/>
        </w:rPr>
        <w:t xml:space="preserve">ėmis rekomendacijomis, kad sumažėtų galimybė dėl tokių nepageidaujamų </w:t>
      </w:r>
      <w:r w:rsidR="008A3DCE">
        <w:rPr>
          <w:rFonts w:ascii="Tahoma" w:hAnsi="Tahoma"/>
          <w:spacing w:val="-2"/>
          <w:sz w:val="18"/>
        </w:rPr>
        <w:t>reakcijų</w:t>
      </w:r>
      <w:r w:rsidRPr="00A30AA4" w:rsidR="008A3DCE">
        <w:rPr>
          <w:rFonts w:ascii="Tahoma" w:hAnsi="Tahoma"/>
          <w:spacing w:val="-2"/>
          <w:sz w:val="18"/>
        </w:rPr>
        <w:t xml:space="preserve"> </w:t>
      </w:r>
      <w:r w:rsidRPr="00A30AA4">
        <w:rPr>
          <w:rFonts w:ascii="Tahoma" w:hAnsi="Tahoma"/>
          <w:spacing w:val="-2"/>
          <w:sz w:val="18"/>
        </w:rPr>
        <w:t>prarasti veiksmingą vaistą [2].</w:t>
      </w:r>
    </w:p>
    <w:p w:rsidR="00DA3A70" w:rsidRPr="00A30AA4" w:rsidP="0028467E">
      <w:pPr>
        <w:spacing w:after="120"/>
        <w:rPr>
          <w:rFonts w:ascii="Tahoma" w:hAnsi="Tahoma" w:cs="Tahoma"/>
          <w:sz w:val="18"/>
          <w:szCs w:val="18"/>
        </w:rPr>
      </w:pPr>
      <w:r w:rsidRPr="00A30AA4">
        <w:rPr>
          <w:rFonts w:ascii="Tahoma" w:hAnsi="Tahoma"/>
          <w:sz w:val="18"/>
        </w:rPr>
        <w:t>Nepageidaujam</w:t>
      </w:r>
      <w:r w:rsidR="00705302">
        <w:rPr>
          <w:rFonts w:ascii="Tahoma" w:hAnsi="Tahoma"/>
          <w:sz w:val="18"/>
        </w:rPr>
        <w:t>a</w:t>
      </w:r>
      <w:r w:rsidRPr="00A30AA4">
        <w:rPr>
          <w:rFonts w:ascii="Tahoma" w:hAnsi="Tahoma"/>
          <w:sz w:val="18"/>
        </w:rPr>
        <w:t xml:space="preserve">s </w:t>
      </w:r>
      <w:r w:rsidR="00705302">
        <w:rPr>
          <w:rFonts w:ascii="Tahoma" w:hAnsi="Tahoma"/>
          <w:sz w:val="18"/>
        </w:rPr>
        <w:t>reakcijas į vaistus</w:t>
      </w:r>
      <w:r w:rsidRPr="00A30AA4">
        <w:rPr>
          <w:rFonts w:ascii="Tahoma" w:hAnsi="Tahoma"/>
          <w:sz w:val="18"/>
        </w:rPr>
        <w:t>, taip pat sprendimą pradėti, koreguoti ar pertraukti gydymą antros eilės vaistais turėtų</w:t>
      </w:r>
      <w:r w:rsidRPr="00A30AA4">
        <w:rPr>
          <w:rFonts w:ascii="Tahoma" w:hAnsi="Tahoma"/>
          <w:sz w:val="18"/>
        </w:rPr>
        <w:t xml:space="preserve"> kontroliuoti ekspertų grupė (pvz., tuberkuliozės konsiliumas arba panaši institucija), o ne pavieniai gydytojai, kad būtų daroma kuo mažiau klaidų ir būtų dalijamasi įsipareigojimais bei dalijamasi patirtimi ir praktinėmis žiniomis [28, 30, 31). Reikėtų d</w:t>
      </w:r>
      <w:r w:rsidRPr="00A30AA4">
        <w:rPr>
          <w:rFonts w:ascii="Tahoma" w:hAnsi="Tahoma"/>
          <w:sz w:val="18"/>
        </w:rPr>
        <w:t>ėti visas pastangos, kad nebeatsirastų daugiau vaistams atsparių organizmų.</w:t>
      </w:r>
    </w:p>
    <w:p w:rsidR="00DA3A70" w:rsidRPr="00A30AA4" w:rsidP="0028467E">
      <w:pPr>
        <w:spacing w:after="120"/>
        <w:rPr>
          <w:rFonts w:ascii="Tahoma" w:hAnsi="Tahoma" w:cs="Tahoma"/>
          <w:sz w:val="18"/>
          <w:szCs w:val="18"/>
        </w:rPr>
      </w:pPr>
      <w:r w:rsidRPr="00A30AA4">
        <w:rPr>
          <w:rFonts w:ascii="Tahoma" w:hAnsi="Tahoma"/>
          <w:sz w:val="18"/>
        </w:rPr>
        <w:t xml:space="preserve">PSO siūlymu, be chemoterapijos, tam tikrais plaučių tuberkuliozės atvejais, pvz., esant didelėms </w:t>
      </w:r>
      <w:r w:rsidR="00705302">
        <w:rPr>
          <w:rFonts w:ascii="Tahoma" w:hAnsi="Tahoma"/>
          <w:sz w:val="18"/>
        </w:rPr>
        <w:t>kavernoms</w:t>
      </w:r>
      <w:r w:rsidRPr="00A30AA4" w:rsidR="00705302">
        <w:rPr>
          <w:rFonts w:ascii="Tahoma" w:hAnsi="Tahoma"/>
          <w:sz w:val="18"/>
        </w:rPr>
        <w:t xml:space="preserve"> </w:t>
      </w:r>
      <w:r w:rsidRPr="00A30AA4">
        <w:rPr>
          <w:rFonts w:ascii="Tahoma" w:hAnsi="Tahoma"/>
          <w:sz w:val="18"/>
        </w:rPr>
        <w:t xml:space="preserve"> vienoje plaučių skiltyje, galima taikyti chirurginį gydymą</w:t>
      </w:r>
      <w:r w:rsidRPr="00A30AA4">
        <w:rPr>
          <w:rFonts w:ascii="Tahoma" w:hAnsi="Tahoma"/>
          <w:sz w:val="18"/>
        </w:rPr>
        <w:t xml:space="preserve"> [23]. Šioje srityje būtina atlikti išsamesnius tyrimus.</w:t>
      </w:r>
    </w:p>
    <w:p w:rsidR="00835340" w:rsidRPr="00A30AA4">
      <w:pPr>
        <w:spacing w:after="160" w:line="259" w:lineRule="auto"/>
        <w:rPr>
          <w:b/>
        </w:rPr>
      </w:pPr>
      <w:r w:rsidRPr="00A30AA4">
        <w:br w:type="page"/>
      </w:r>
    </w:p>
    <w:p w:rsidR="00DA3A70" w:rsidRPr="00A30AA4" w:rsidP="0028467E">
      <w:pPr>
        <w:spacing w:after="120"/>
        <w:rPr>
          <w:rFonts w:ascii="Tahoma" w:hAnsi="Tahoma" w:cs="Tahoma"/>
          <w:b/>
          <w:sz w:val="18"/>
          <w:szCs w:val="18"/>
        </w:rPr>
      </w:pPr>
      <w:r w:rsidRPr="00A30AA4">
        <w:rPr>
          <w:rFonts w:ascii="Tahoma" w:hAnsi="Tahoma"/>
          <w:b/>
          <w:sz w:val="18"/>
        </w:rPr>
        <w:t>Pasaulio sveikatos organizacijos patvirtinta vaistų nuo tuberkuliozės klasifikacija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A30AA4"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A30AA4">
              <w:rPr>
                <w:rFonts w:ascii="Tahoma" w:hAnsi="Tahoma"/>
                <w:b/>
                <w:color w:val="FFFFFF" w:themeColor="background1"/>
                <w:sz w:val="18"/>
              </w:rPr>
              <w:t>Grupė</w:t>
            </w:r>
          </w:p>
        </w:tc>
        <w:tc>
          <w:tcPr>
            <w:tcW w:w="3203" w:type="dxa"/>
            <w:gridSpan w:val="2"/>
            <w:shd w:val="clear" w:color="auto" w:fill="69AF23"/>
          </w:tcPr>
          <w:p w:rsidR="00DA3A70" w:rsidRPr="00A30AA4"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A30AA4">
              <w:rPr>
                <w:rFonts w:ascii="Tahoma" w:hAnsi="Tahoma"/>
                <w:b/>
                <w:color w:val="FFFFFF" w:themeColor="background1"/>
                <w:sz w:val="18"/>
              </w:rPr>
              <w:t>Vaistai</w:t>
            </w:r>
          </w:p>
        </w:tc>
        <w:tc>
          <w:tcPr>
            <w:tcW w:w="2835" w:type="dxa"/>
            <w:shd w:val="clear" w:color="auto" w:fill="69AF23"/>
          </w:tcPr>
          <w:p w:rsidR="00DA3A70" w:rsidRPr="00A30AA4"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A30AA4">
              <w:rPr>
                <w:rFonts w:ascii="Tahoma" w:hAnsi="Tahoma"/>
                <w:b/>
                <w:color w:val="FFFFFF" w:themeColor="background1"/>
                <w:sz w:val="18"/>
              </w:rPr>
              <w:t>Santrumpa</w:t>
            </w:r>
          </w:p>
        </w:tc>
      </w:tr>
      <w:tr w:rsidTr="0028467E">
        <w:tblPrEx>
          <w:tblW w:w="9069" w:type="dxa"/>
          <w:tblLook w:val="04A0"/>
        </w:tblPrEx>
        <w:tc>
          <w:tcPr>
            <w:tcW w:w="3031" w:type="dxa"/>
            <w:shd w:val="clear" w:color="auto" w:fill="auto"/>
          </w:tcPr>
          <w:p w:rsidR="00DA3A70" w:rsidRPr="00A30AA4"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A30AA4">
              <w:rPr>
                <w:rFonts w:ascii="Tahoma" w:hAnsi="Tahoma"/>
                <w:sz w:val="18"/>
              </w:rPr>
              <w:t>Fluorochinolonai</w:t>
            </w:r>
          </w:p>
        </w:tc>
        <w:tc>
          <w:tcPr>
            <w:tcW w:w="3203" w:type="dxa"/>
            <w:gridSpan w:val="2"/>
            <w:shd w:val="clear" w:color="auto" w:fill="auto"/>
          </w:tcPr>
          <w:p w:rsidR="00DA3A70" w:rsidRPr="00A30AA4" w:rsidP="000D0DB0">
            <w:pPr>
              <w:autoSpaceDE w:val="0"/>
              <w:autoSpaceDN w:val="0"/>
              <w:adjustRightInd w:val="0"/>
              <w:spacing w:after="0" w:line="240" w:lineRule="auto"/>
              <w:rPr>
                <w:rFonts w:ascii="Tahoma" w:hAnsi="Tahoma" w:cs="Tahoma"/>
                <w:sz w:val="18"/>
                <w:szCs w:val="18"/>
              </w:rPr>
            </w:pPr>
            <w:r w:rsidRPr="00A30AA4">
              <w:rPr>
                <w:rFonts w:ascii="Tahoma" w:hAnsi="Tahoma"/>
                <w:sz w:val="18"/>
              </w:rPr>
              <w:t>Levofloksacinas</w:t>
            </w:r>
          </w:p>
          <w:p w:rsidR="00DA3A70" w:rsidRPr="00A30AA4" w:rsidP="000D0DB0">
            <w:pPr>
              <w:autoSpaceDE w:val="0"/>
              <w:autoSpaceDN w:val="0"/>
              <w:adjustRightInd w:val="0"/>
              <w:spacing w:after="0" w:line="240" w:lineRule="auto"/>
              <w:rPr>
                <w:rFonts w:ascii="Tahoma" w:hAnsi="Tahoma" w:cs="Tahoma"/>
                <w:sz w:val="18"/>
                <w:szCs w:val="18"/>
              </w:rPr>
            </w:pPr>
            <w:r w:rsidRPr="00A30AA4">
              <w:rPr>
                <w:rFonts w:ascii="Tahoma" w:hAnsi="Tahoma"/>
                <w:sz w:val="18"/>
              </w:rPr>
              <w:t>Moksifloksacinas</w:t>
            </w:r>
          </w:p>
          <w:p w:rsidR="00DA3A70" w:rsidRPr="00A30AA4" w:rsidP="000D0DB0">
            <w:pPr>
              <w:autoSpaceDE w:val="0"/>
              <w:autoSpaceDN w:val="0"/>
              <w:adjustRightInd w:val="0"/>
              <w:spacing w:after="0" w:line="240" w:lineRule="auto"/>
              <w:rPr>
                <w:rFonts w:ascii="Tahoma" w:hAnsi="Tahoma" w:cs="Tahoma"/>
                <w:sz w:val="18"/>
                <w:szCs w:val="18"/>
              </w:rPr>
            </w:pPr>
            <w:r w:rsidRPr="00A30AA4">
              <w:rPr>
                <w:rFonts w:ascii="Tahoma" w:hAnsi="Tahoma"/>
                <w:sz w:val="18"/>
              </w:rPr>
              <w:t>Gatifloksacinas</w:t>
            </w:r>
          </w:p>
        </w:tc>
        <w:tc>
          <w:tcPr>
            <w:tcW w:w="2835" w:type="dxa"/>
            <w:shd w:val="clear" w:color="auto" w:fill="auto"/>
          </w:tcPr>
          <w:p w:rsidR="00DA3A70" w:rsidRPr="00A30AA4" w:rsidP="000D0DB0">
            <w:pPr>
              <w:autoSpaceDE w:val="0"/>
              <w:autoSpaceDN w:val="0"/>
              <w:adjustRightInd w:val="0"/>
              <w:spacing w:after="0" w:line="240" w:lineRule="auto"/>
              <w:rPr>
                <w:rFonts w:ascii="Tahoma" w:hAnsi="Tahoma" w:cs="Tahoma"/>
                <w:sz w:val="18"/>
                <w:szCs w:val="18"/>
              </w:rPr>
            </w:pPr>
            <w:r w:rsidRPr="00A30AA4">
              <w:rPr>
                <w:rFonts w:ascii="Tahoma" w:hAnsi="Tahoma"/>
                <w:sz w:val="18"/>
              </w:rPr>
              <w:t>Lfx</w:t>
            </w:r>
          </w:p>
          <w:p w:rsidR="00DA3A70" w:rsidRPr="00A30AA4" w:rsidP="000D0DB0">
            <w:pPr>
              <w:autoSpaceDE w:val="0"/>
              <w:autoSpaceDN w:val="0"/>
              <w:adjustRightInd w:val="0"/>
              <w:spacing w:after="0" w:line="240" w:lineRule="auto"/>
              <w:rPr>
                <w:rFonts w:ascii="Tahoma" w:hAnsi="Tahoma" w:cs="Tahoma"/>
                <w:sz w:val="18"/>
                <w:szCs w:val="18"/>
              </w:rPr>
            </w:pPr>
            <w:r w:rsidRPr="00A30AA4">
              <w:rPr>
                <w:rFonts w:ascii="Tahoma" w:hAnsi="Tahoma"/>
                <w:sz w:val="18"/>
              </w:rPr>
              <w:t>Mfx</w:t>
            </w:r>
          </w:p>
          <w:p w:rsidR="00DA3A70" w:rsidRPr="00A30AA4" w:rsidP="000D0DB0">
            <w:pPr>
              <w:autoSpaceDE w:val="0"/>
              <w:autoSpaceDN w:val="0"/>
              <w:adjustRightInd w:val="0"/>
              <w:spacing w:after="0" w:line="240" w:lineRule="auto"/>
              <w:rPr>
                <w:rFonts w:ascii="Tahoma" w:hAnsi="Tahoma" w:cs="Tahoma"/>
                <w:sz w:val="18"/>
                <w:szCs w:val="18"/>
              </w:rPr>
            </w:pPr>
            <w:r w:rsidRPr="00A30AA4">
              <w:rPr>
                <w:rFonts w:ascii="Tahoma" w:hAnsi="Tahoma"/>
                <w:sz w:val="18"/>
              </w:rPr>
              <w:t>Gfx</w:t>
            </w:r>
          </w:p>
        </w:tc>
      </w:tr>
      <w:tr w:rsidTr="0028467E">
        <w:tblPrEx>
          <w:tblW w:w="9069" w:type="dxa"/>
          <w:tblLook w:val="04A0"/>
        </w:tblPrEx>
        <w:tc>
          <w:tcPr>
            <w:tcW w:w="3031" w:type="dxa"/>
            <w:shd w:val="clear" w:color="auto" w:fill="auto"/>
          </w:tcPr>
          <w:p w:rsidR="00DA3A70" w:rsidRPr="00A30AA4"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A30AA4">
              <w:rPr>
                <w:rFonts w:ascii="Tahoma" w:hAnsi="Tahoma"/>
                <w:sz w:val="18"/>
              </w:rPr>
              <w:t>Antros eilės švirkščiamieji vaistai</w:t>
            </w:r>
          </w:p>
        </w:tc>
        <w:tc>
          <w:tcPr>
            <w:tcW w:w="3203" w:type="dxa"/>
            <w:gridSpan w:val="2"/>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Amikacinas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Kapreomicinas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Kanamicinas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(Streptomicinas)</w:t>
            </w:r>
          </w:p>
        </w:tc>
        <w:tc>
          <w:tcPr>
            <w:tcW w:w="2835"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Am</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Cm</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Km</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(S)</w:t>
            </w:r>
          </w:p>
        </w:tc>
      </w:tr>
      <w:tr w:rsidTr="0028467E">
        <w:tblPrEx>
          <w:tblW w:w="9069" w:type="dxa"/>
          <w:tblLook w:val="04A0"/>
        </w:tblPrEx>
        <w:tc>
          <w:tcPr>
            <w:tcW w:w="3031" w:type="dxa"/>
            <w:shd w:val="clear" w:color="auto" w:fill="auto"/>
          </w:tcPr>
          <w:p w:rsidR="00DA3A70" w:rsidRPr="00A30AA4"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A30AA4">
              <w:rPr>
                <w:rFonts w:ascii="Tahoma" w:hAnsi="Tahoma"/>
                <w:sz w:val="18"/>
              </w:rPr>
              <w:t>Kiti pagrindiniai antros eilės vaistai</w:t>
            </w:r>
          </w:p>
        </w:tc>
        <w:tc>
          <w:tcPr>
            <w:tcW w:w="3203" w:type="dxa"/>
            <w:gridSpan w:val="2"/>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Etionamidas</w:t>
            </w:r>
            <w:r w:rsidRPr="00A30AA4">
              <w:rPr>
                <w:rFonts w:ascii="Tahoma" w:hAnsi="Tahoma"/>
                <w:sz w:val="18"/>
              </w:rPr>
              <w:t> / </w:t>
            </w:r>
            <w:r w:rsidRPr="00A30AA4">
              <w:rPr>
                <w:rFonts w:ascii="Tahoma" w:hAnsi="Tahoma"/>
                <w:sz w:val="18"/>
              </w:rPr>
              <w:t>protionamidas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Cikloserinas</w:t>
            </w:r>
            <w:r w:rsidRPr="00A30AA4">
              <w:rPr>
                <w:rFonts w:ascii="Tahoma" w:hAnsi="Tahoma"/>
                <w:sz w:val="18"/>
              </w:rPr>
              <w:t> / </w:t>
            </w:r>
            <w:r w:rsidRPr="00A30AA4">
              <w:rPr>
                <w:rFonts w:ascii="Tahoma" w:hAnsi="Tahoma"/>
                <w:sz w:val="18"/>
              </w:rPr>
              <w:t>Terizidonas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Linezolidas</w:t>
            </w:r>
          </w:p>
          <w:p w:rsidR="00DA3A70" w:rsidRPr="00A30AA4" w:rsidP="00BD3F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Klofaziminas</w:t>
            </w:r>
          </w:p>
        </w:tc>
        <w:tc>
          <w:tcPr>
            <w:tcW w:w="2835"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Eto</w:t>
            </w:r>
            <w:r w:rsidRPr="00A30AA4">
              <w:rPr>
                <w:rFonts w:ascii="Tahoma" w:hAnsi="Tahoma"/>
                <w:sz w:val="18"/>
              </w:rPr>
              <w:t>/</w:t>
            </w:r>
            <w:r w:rsidRPr="00A30AA4">
              <w:rPr>
                <w:rFonts w:ascii="Tahoma" w:hAnsi="Tahoma"/>
                <w:sz w:val="18"/>
              </w:rPr>
              <w:t>Pto</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Cs</w:t>
            </w:r>
            <w:r w:rsidRPr="00A30AA4">
              <w:rPr>
                <w:rFonts w:ascii="Tahoma" w:hAnsi="Tahoma"/>
                <w:sz w:val="18"/>
              </w:rPr>
              <w:t>/</w:t>
            </w:r>
            <w:r w:rsidRPr="00A30AA4">
              <w:rPr>
                <w:rFonts w:ascii="Tahoma" w:hAnsi="Tahoma"/>
                <w:sz w:val="18"/>
              </w:rPr>
              <w:t>Trd</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Lzd</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Cfz</w:t>
            </w:r>
          </w:p>
        </w:tc>
      </w:tr>
      <w:tr w:rsidTr="0028467E">
        <w:tblPrEx>
          <w:tblW w:w="9069" w:type="dxa"/>
          <w:tblLook w:val="04A0"/>
        </w:tblPrEx>
        <w:tc>
          <w:tcPr>
            <w:tcW w:w="3031" w:type="dxa"/>
            <w:vMerge w:val="restart"/>
            <w:shd w:val="clear" w:color="auto" w:fill="auto"/>
          </w:tcPr>
          <w:p w:rsidR="00DA3A70" w:rsidRPr="00A30AA4"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A30AA4">
              <w:rPr>
                <w:rFonts w:ascii="Tahoma" w:hAnsi="Tahoma"/>
                <w:sz w:val="18"/>
              </w:rPr>
              <w:t>Papildomi</w:t>
            </w:r>
            <w:r w:rsidRPr="00A30AA4">
              <w:rPr>
                <w:rFonts w:ascii="Tahoma" w:hAnsi="Tahoma"/>
                <w:sz w:val="18"/>
              </w:rPr>
              <w:t xml:space="preserve"> vaistai</w:t>
            </w:r>
            <w:r w:rsidRPr="00A30AA4">
              <w:rPr>
                <w:rFonts w:ascii="Tahoma" w:hAnsi="Tahoma" w:cs="Tahoma"/>
                <w:sz w:val="18"/>
                <w:szCs w:val="18"/>
              </w:rPr>
              <w:br/>
            </w:r>
            <w:r w:rsidRPr="00A30AA4">
              <w:rPr>
                <w:rFonts w:ascii="Tahoma" w:hAnsi="Tahoma"/>
                <w:sz w:val="18"/>
              </w:rPr>
              <w:t>(ne pagrindiniai DVA tuberkuliozės gydymo režimo vaistai)</w:t>
            </w:r>
          </w:p>
        </w:tc>
        <w:tc>
          <w:tcPr>
            <w:tcW w:w="675"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D1</w:t>
            </w:r>
          </w:p>
        </w:tc>
        <w:tc>
          <w:tcPr>
            <w:tcW w:w="2528"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Pirazinamidas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Etambutolis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 xml:space="preserve">Didelės </w:t>
            </w:r>
            <w:r w:rsidRPr="00A30AA4">
              <w:rPr>
                <w:rFonts w:ascii="Tahoma" w:hAnsi="Tahoma"/>
                <w:sz w:val="18"/>
              </w:rPr>
              <w:t>izoniazido</w:t>
            </w:r>
            <w:r w:rsidRPr="00A30AA4">
              <w:rPr>
                <w:rFonts w:ascii="Tahoma" w:hAnsi="Tahoma"/>
                <w:sz w:val="18"/>
              </w:rPr>
              <w:t xml:space="preserve"> dozės</w:t>
            </w:r>
          </w:p>
        </w:tc>
        <w:tc>
          <w:tcPr>
            <w:tcW w:w="2835"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Z</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E</w:t>
            </w:r>
          </w:p>
          <w:p w:rsidR="00DA3A70" w:rsidRPr="00A30AA4" w:rsidP="006F6381">
            <w:pPr>
              <w:autoSpaceDE w:val="0"/>
              <w:autoSpaceDN w:val="0"/>
              <w:adjustRightInd w:val="0"/>
              <w:spacing w:after="0" w:line="240" w:lineRule="auto"/>
              <w:jc w:val="both"/>
              <w:rPr>
                <w:rFonts w:ascii="Tahoma" w:hAnsi="Tahoma" w:cs="Tahoma"/>
                <w:sz w:val="18"/>
                <w:szCs w:val="18"/>
                <w:vertAlign w:val="superscript"/>
              </w:rPr>
            </w:pPr>
            <w:r w:rsidRPr="00A30AA4">
              <w:rPr>
                <w:rFonts w:ascii="Tahoma" w:hAnsi="Tahoma"/>
                <w:sz w:val="18"/>
              </w:rPr>
              <w:t xml:space="preserve">H </w:t>
            </w:r>
            <w:r w:rsidRPr="00A30AA4">
              <w:rPr>
                <w:rFonts w:ascii="Tahoma" w:hAnsi="Tahoma"/>
                <w:b/>
                <w:sz w:val="18"/>
                <w:vertAlign w:val="subscript"/>
              </w:rPr>
              <w:t>(didelės dozės)</w:t>
            </w:r>
          </w:p>
        </w:tc>
      </w:tr>
      <w:tr w:rsidTr="0028467E">
        <w:tblPrEx>
          <w:tblW w:w="9069" w:type="dxa"/>
          <w:tblLook w:val="04A0"/>
        </w:tblPrEx>
        <w:tc>
          <w:tcPr>
            <w:tcW w:w="3031" w:type="dxa"/>
            <w:vMerge/>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D2</w:t>
            </w:r>
          </w:p>
        </w:tc>
        <w:tc>
          <w:tcPr>
            <w:tcW w:w="2528"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Bedakvlinas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Delamanidas</w:t>
            </w:r>
          </w:p>
        </w:tc>
        <w:tc>
          <w:tcPr>
            <w:tcW w:w="2835"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Bdq</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Dlm</w:t>
            </w:r>
          </w:p>
        </w:tc>
      </w:tr>
      <w:tr w:rsidTr="0028467E">
        <w:tblPrEx>
          <w:tblW w:w="9069" w:type="dxa"/>
          <w:tblLook w:val="04A0"/>
        </w:tblPrEx>
        <w:tc>
          <w:tcPr>
            <w:tcW w:w="3031" w:type="dxa"/>
            <w:vMerge/>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D3</w:t>
            </w:r>
          </w:p>
        </w:tc>
        <w:tc>
          <w:tcPr>
            <w:tcW w:w="2528"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p-</w:t>
            </w:r>
            <w:r w:rsidRPr="00A30AA4">
              <w:rPr>
                <w:rFonts w:ascii="Tahoma" w:hAnsi="Tahoma"/>
                <w:sz w:val="18"/>
              </w:rPr>
              <w:t>aminosalicilo</w:t>
            </w:r>
            <w:r w:rsidRPr="00A30AA4">
              <w:rPr>
                <w:rFonts w:ascii="Tahoma" w:hAnsi="Tahoma"/>
                <w:sz w:val="18"/>
              </w:rPr>
              <w:t xml:space="preserve"> rūgštis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Imipenemas</w:t>
            </w:r>
            <w:r w:rsidRPr="00A30AA4">
              <w:rPr>
                <w:rFonts w:ascii="Tahoma" w:hAnsi="Tahoma"/>
                <w:sz w:val="18"/>
              </w:rPr>
              <w:t> / </w:t>
            </w:r>
            <w:r w:rsidRPr="00A30AA4">
              <w:rPr>
                <w:rFonts w:ascii="Tahoma" w:hAnsi="Tahoma"/>
                <w:sz w:val="18"/>
              </w:rPr>
              <w:t>cilastatinas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Meropenemas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Amoksicillinas</w:t>
            </w:r>
            <w:r w:rsidRPr="00A30AA4">
              <w:rPr>
                <w:rFonts w:ascii="Tahoma" w:hAnsi="Tahoma"/>
                <w:sz w:val="18"/>
              </w:rPr>
              <w:t> / </w:t>
            </w:r>
            <w:r w:rsidRPr="00A30AA4">
              <w:rPr>
                <w:rFonts w:ascii="Tahoma" w:hAnsi="Tahoma"/>
                <w:sz w:val="18"/>
              </w:rPr>
              <w:t>klavulanatas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w:t>
            </w:r>
            <w:r w:rsidRPr="00A30AA4">
              <w:rPr>
                <w:rFonts w:ascii="Tahoma" w:hAnsi="Tahoma"/>
                <w:sz w:val="18"/>
              </w:rPr>
              <w:t>Tioacetazonas</w:t>
            </w:r>
            <w:r w:rsidRPr="00A30AA4">
              <w:rPr>
                <w:rFonts w:ascii="Tahoma" w:hAnsi="Tahoma"/>
                <w:sz w:val="18"/>
              </w:rPr>
              <w:t>)</w:t>
            </w:r>
          </w:p>
        </w:tc>
        <w:tc>
          <w:tcPr>
            <w:tcW w:w="2835" w:type="dxa"/>
            <w:shd w:val="clear" w:color="auto" w:fill="auto"/>
          </w:tcPr>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PAS</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Ipm</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Mpm</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Amx-Clv</w:t>
            </w:r>
          </w:p>
          <w:p w:rsidR="00DA3A70" w:rsidRPr="00A30AA4" w:rsidP="006F6381">
            <w:pPr>
              <w:autoSpaceDE w:val="0"/>
              <w:autoSpaceDN w:val="0"/>
              <w:adjustRightInd w:val="0"/>
              <w:spacing w:after="0" w:line="240" w:lineRule="auto"/>
              <w:jc w:val="both"/>
              <w:rPr>
                <w:rFonts w:ascii="Tahoma" w:hAnsi="Tahoma" w:cs="Tahoma"/>
                <w:sz w:val="18"/>
                <w:szCs w:val="18"/>
              </w:rPr>
            </w:pPr>
            <w:r w:rsidRPr="00A30AA4">
              <w:rPr>
                <w:rFonts w:ascii="Tahoma" w:hAnsi="Tahoma"/>
                <w:sz w:val="18"/>
              </w:rPr>
              <w:t>(T)</w:t>
            </w:r>
          </w:p>
        </w:tc>
      </w:tr>
    </w:tbl>
    <w:p w:rsidR="00DA3A70" w:rsidRPr="00A30AA4" w:rsidP="00DB519A">
      <w:pPr>
        <w:autoSpaceDE w:val="0"/>
        <w:autoSpaceDN w:val="0"/>
        <w:adjustRightInd w:val="0"/>
        <w:spacing w:after="0"/>
        <w:jc w:val="both"/>
        <w:rPr>
          <w:rFonts w:ascii="Tahoma" w:hAnsi="Tahoma" w:cs="Tahoma"/>
          <w:szCs w:val="24"/>
        </w:rPr>
      </w:pPr>
    </w:p>
    <w:p w:rsidR="00DA3A70" w:rsidRPr="00A30AA4" w:rsidP="00DB519A">
      <w:pPr>
        <w:shd w:val="clear" w:color="auto" w:fill="D9D9D9"/>
        <w:autoSpaceDE w:val="0"/>
        <w:autoSpaceDN w:val="0"/>
        <w:adjustRightInd w:val="0"/>
        <w:spacing w:after="0"/>
        <w:jc w:val="both"/>
        <w:rPr>
          <w:rFonts w:ascii="Tahoma" w:hAnsi="Tahoma" w:cs="Tahoma"/>
          <w:b/>
          <w:bCs/>
          <w:sz w:val="24"/>
          <w:szCs w:val="24"/>
        </w:rPr>
      </w:pPr>
      <w:r w:rsidRPr="00A30AA4">
        <w:rPr>
          <w:rFonts w:ascii="Tahoma" w:hAnsi="Tahoma"/>
          <w:b/>
          <w:sz w:val="24"/>
          <w:shd w:val="clear" w:color="auto" w:fill="D9D9D9"/>
        </w:rPr>
        <w:t>13 standartas</w:t>
      </w:r>
    </w:p>
    <w:p w:rsidR="00DA3A70" w:rsidRPr="00A30AA4" w:rsidP="0028467E">
      <w:pPr>
        <w:spacing w:after="120"/>
        <w:rPr>
          <w:rFonts w:ascii="Tahoma" w:hAnsi="Tahoma" w:cs="Tahoma"/>
          <w:sz w:val="18"/>
          <w:szCs w:val="18"/>
        </w:rPr>
      </w:pPr>
      <w:r w:rsidRPr="00A30AA4">
        <w:rPr>
          <w:rFonts w:ascii="Tahoma" w:hAnsi="Tahoma"/>
          <w:sz w:val="18"/>
        </w:rPr>
        <w:t xml:space="preserve">Visų pacientų atveju reikėtų raštu arba elektroniniu būdu kaupti duomenis apie visus paskirtus vaistus, gydymo stebėjimą (įskaitant bakteriologinį atsaką), </w:t>
      </w:r>
      <w:r w:rsidRPr="00A30AA4">
        <w:rPr>
          <w:rFonts w:ascii="Tahoma" w:hAnsi="Tahoma"/>
          <w:sz w:val="18"/>
        </w:rPr>
        <w:t>nepageidaujamas reakcijas</w:t>
      </w:r>
      <w:r w:rsidR="00705302">
        <w:rPr>
          <w:rFonts w:ascii="Tahoma" w:hAnsi="Tahoma"/>
          <w:sz w:val="18"/>
        </w:rPr>
        <w:t xml:space="preserve"> į vaistus</w:t>
      </w:r>
      <w:r w:rsidRPr="00A30AA4">
        <w:rPr>
          <w:rFonts w:ascii="Tahoma" w:hAnsi="Tahoma"/>
          <w:sz w:val="18"/>
        </w:rPr>
        <w:t xml:space="preserve"> ir gydymo rezultatus. </w:t>
      </w:r>
    </w:p>
    <w:p w:rsidR="00835340" w:rsidRPr="00A30AA4" w:rsidP="000D0DB0">
      <w:pPr>
        <w:pStyle w:val="EC-Title-6"/>
        <w:rPr>
          <w:sz w:val="18"/>
          <w:szCs w:val="18"/>
        </w:rPr>
      </w:pPr>
      <w:r w:rsidRPr="00A30AA4">
        <w:t>Tik ES taikomi reikalavimai</w:t>
      </w:r>
    </w:p>
    <w:p w:rsidR="00DA3A70" w:rsidRPr="00A30AA4" w:rsidP="00604B0D">
      <w:pPr>
        <w:widowControl w:val="0"/>
        <w:spacing w:after="0"/>
        <w:jc w:val="both"/>
        <w:rPr>
          <w:rFonts w:ascii="Tahoma" w:hAnsi="Tahoma" w:cs="Tahoma"/>
          <w:sz w:val="18"/>
          <w:szCs w:val="18"/>
        </w:rPr>
      </w:pPr>
      <w:r w:rsidRPr="00A30AA4">
        <w:rPr>
          <w:rFonts w:ascii="Tahoma" w:hAnsi="Tahoma"/>
          <w:sz w:val="18"/>
        </w:rPr>
        <w:t>Per pirmą susitikimą su kiekvienu pacientu reikėtų surinkti ir į medicinos dokumentus įtraukti išsamią klinikinę ir socialinę tuberkuliozės istoriją. Ji turėtų apimti turimą informaciją apie ankstesnę diagnozę, gydymą (režimą, dozes, trukmę, režimo pakeiti</w:t>
      </w:r>
      <w:r w:rsidRPr="00A30AA4">
        <w:rPr>
          <w:rFonts w:ascii="Tahoma" w:hAnsi="Tahoma"/>
          <w:sz w:val="18"/>
        </w:rPr>
        <w:t xml:space="preserve">mus ir kt.) ir apie tai, kaip pacientas laikėsi gydymo nurodymų, taip pat išsamią informaciją apie diagnozuojant ir tolesnio stebėjimo laikotarpiu atliktus bakteriologinius tyrimus (skreplių tepinėlio tyrimą, </w:t>
      </w:r>
      <w:r w:rsidRPr="0099378A" w:rsidR="006F3444">
        <w:rPr>
          <w:rFonts w:ascii="Tahoma" w:hAnsi="Tahoma"/>
          <w:sz w:val="18"/>
        </w:rPr>
        <w:t>pasėlį</w:t>
      </w:r>
      <w:r w:rsidRPr="00A30AA4" w:rsidR="006F3444">
        <w:rPr>
          <w:rFonts w:ascii="Tahoma" w:hAnsi="Tahoma"/>
          <w:sz w:val="18"/>
        </w:rPr>
        <w:t xml:space="preserve"> </w:t>
      </w:r>
      <w:r w:rsidRPr="00A30AA4">
        <w:rPr>
          <w:rFonts w:ascii="Tahoma" w:hAnsi="Tahoma"/>
          <w:sz w:val="18"/>
        </w:rPr>
        <w:t xml:space="preserve">ir padermės nustatymo tyrimą, taip pat jautrumo pirmos ir antros eilės vaistams tyrimus). Šią informaciją reikėtų nurodyti pacientui išduodamuose dokumentuose (išrašymo iš ligoninės lape, perkėlimo į kitą įstaigą formoje arba lygiaverčiame dokumente), kad </w:t>
      </w:r>
      <w:r w:rsidRPr="00A30AA4">
        <w:rPr>
          <w:rFonts w:ascii="Tahoma" w:hAnsi="Tahoma"/>
          <w:sz w:val="18"/>
        </w:rPr>
        <w:t>būtų sudarytos sąlygos tęsti paciento priežiūrą, jam persikėlus (jį perkėlus) į kitą sveikatos priežiūros įstaigą [32, 33].</w:t>
      </w:r>
    </w:p>
    <w:p w:rsidR="00D830C5" w:rsidRPr="00A30AA4" w:rsidP="000D0DB0">
      <w:pPr>
        <w:pStyle w:val="EC-Title-5"/>
        <w:spacing w:before="120"/>
      </w:pPr>
      <w:r w:rsidRPr="00A30AA4">
        <w:t xml:space="preserve">ŽIV infekcijos ir gretutinių ligų prevencijos ir gydymo standartai </w:t>
      </w:r>
    </w:p>
    <w:p w:rsidR="00DA3A70" w:rsidRPr="00A30AA4" w:rsidP="00DB519A">
      <w:pPr>
        <w:shd w:val="clear" w:color="auto" w:fill="D9D9D9"/>
        <w:autoSpaceDE w:val="0"/>
        <w:autoSpaceDN w:val="0"/>
        <w:adjustRightInd w:val="0"/>
        <w:spacing w:after="0"/>
        <w:jc w:val="both"/>
        <w:rPr>
          <w:rFonts w:ascii="Tahoma" w:hAnsi="Tahoma" w:cs="Tahoma"/>
          <w:b/>
          <w:bCs/>
          <w:i/>
          <w:sz w:val="24"/>
          <w:szCs w:val="24"/>
        </w:rPr>
      </w:pPr>
      <w:r w:rsidRPr="00A30AA4">
        <w:rPr>
          <w:rFonts w:ascii="Tahoma" w:hAnsi="Tahoma"/>
          <w:b/>
          <w:sz w:val="24"/>
          <w:shd w:val="clear" w:color="auto" w:fill="D9D9D9"/>
        </w:rPr>
        <w:t>14 standartas</w:t>
      </w:r>
    </w:p>
    <w:p w:rsidR="00DA3A70" w:rsidRPr="00A30AA4" w:rsidP="0028467E">
      <w:pPr>
        <w:spacing w:after="120"/>
        <w:rPr>
          <w:rFonts w:ascii="Tahoma" w:hAnsi="Tahoma" w:cs="Tahoma"/>
          <w:sz w:val="18"/>
          <w:szCs w:val="18"/>
        </w:rPr>
      </w:pPr>
      <w:r w:rsidRPr="00A30AA4">
        <w:rPr>
          <w:rFonts w:ascii="Tahoma" w:hAnsi="Tahoma"/>
          <w:sz w:val="18"/>
        </w:rPr>
        <w:t>Visus pacientus, kuriems diagnozuota arba įtariama</w:t>
      </w:r>
      <w:r w:rsidRPr="00A30AA4">
        <w:rPr>
          <w:rFonts w:ascii="Tahoma" w:hAnsi="Tahoma"/>
          <w:sz w:val="18"/>
        </w:rPr>
        <w:t xml:space="preserve"> tuberkuliozė, reikėtų </w:t>
      </w:r>
      <w:r w:rsidRPr="00A30AA4">
        <w:rPr>
          <w:rFonts w:ascii="Tahoma" w:hAnsi="Tahoma"/>
          <w:sz w:val="18"/>
        </w:rPr>
        <w:t>konsultuoti ŽIV klausimu ir visiems jiems reikėtų rekomenduoti išsitirti dėl ŽIV. Tyrimai yra itin svarbi įprastinės visų pacientų sveikatos priežiūros dalis tose vietovėse, kuriose ŽIV infekcija labai paplitusi bendrojoje populiac</w:t>
      </w:r>
      <w:r w:rsidRPr="00A30AA4">
        <w:rPr>
          <w:rFonts w:ascii="Tahoma" w:hAnsi="Tahoma"/>
          <w:sz w:val="18"/>
        </w:rPr>
        <w:t>ijoje, arba jeigu pacientas priskiriamas prie didelės rizikos gyventojų grupės arba jam pasireiškia su ŽIV susijusių ligų simptomai ir (arba) požymiai. Dėl glaudžios tuberkuliozės ir ŽIV infekcijos sąveikos rekomenduojama vadovautis integruotu požiūriu į š</w:t>
      </w:r>
      <w:r w:rsidRPr="00A30AA4">
        <w:rPr>
          <w:rFonts w:ascii="Tahoma" w:hAnsi="Tahoma"/>
          <w:sz w:val="18"/>
        </w:rPr>
        <w:t>ių abiejų infekcijų prevenciją ir gydymą [34].</w:t>
      </w:r>
    </w:p>
    <w:p w:rsidR="00DA3A70" w:rsidRPr="00A30AA4" w:rsidP="00DB519A">
      <w:pPr>
        <w:shd w:val="clear" w:color="auto" w:fill="D9D9D9"/>
        <w:autoSpaceDE w:val="0"/>
        <w:autoSpaceDN w:val="0"/>
        <w:adjustRightInd w:val="0"/>
        <w:spacing w:after="0"/>
        <w:jc w:val="both"/>
        <w:rPr>
          <w:rFonts w:ascii="Tahoma" w:hAnsi="Tahoma" w:cs="Tahoma"/>
          <w:b/>
          <w:bCs/>
          <w:sz w:val="24"/>
          <w:szCs w:val="24"/>
        </w:rPr>
      </w:pPr>
      <w:r w:rsidRPr="00A30AA4">
        <w:rPr>
          <w:rFonts w:ascii="Tahoma" w:hAnsi="Tahoma"/>
          <w:b/>
          <w:sz w:val="24"/>
          <w:shd w:val="clear" w:color="auto" w:fill="D9D9D9"/>
        </w:rPr>
        <w:t>15 standartas</w:t>
      </w:r>
    </w:p>
    <w:p w:rsidR="00DA3A70" w:rsidRPr="00A30AA4" w:rsidP="0028467E">
      <w:pPr>
        <w:spacing w:after="120"/>
        <w:rPr>
          <w:rFonts w:ascii="Tahoma" w:hAnsi="Tahoma" w:cs="Tahoma"/>
          <w:sz w:val="18"/>
          <w:szCs w:val="18"/>
        </w:rPr>
      </w:pPr>
      <w:r w:rsidRPr="00A30AA4">
        <w:rPr>
          <w:rFonts w:ascii="Tahoma" w:hAnsi="Tahoma"/>
          <w:sz w:val="18"/>
        </w:rPr>
        <w:t>Visų tuberkulioze ir ŽIV užsikrėtusių pacientų būklę reikėtų atidžiai įvertinti – visiems tuberkulioze sergantiems pacientams, kuriems diagnozuota ŽIV infekcija, rekomenduojama taikyti antiretrov</w:t>
      </w:r>
      <w:r w:rsidRPr="00A30AA4">
        <w:rPr>
          <w:rFonts w:ascii="Tahoma" w:hAnsi="Tahoma"/>
          <w:sz w:val="18"/>
        </w:rPr>
        <w:t>irusin</w:t>
      </w:r>
      <w:r w:rsidR="005B4C3B">
        <w:rPr>
          <w:rFonts w:ascii="Tahoma" w:hAnsi="Tahoma"/>
          <w:sz w:val="18"/>
        </w:rPr>
        <w:t>ę</w:t>
      </w:r>
      <w:r w:rsidRPr="00A30AA4">
        <w:rPr>
          <w:rFonts w:ascii="Tahoma" w:hAnsi="Tahoma"/>
          <w:sz w:val="18"/>
        </w:rPr>
        <w:t xml:space="preserve"> </w:t>
      </w:r>
      <w:r w:rsidRPr="00A30AA4">
        <w:rPr>
          <w:rFonts w:ascii="Tahoma" w:hAnsi="Tahoma"/>
          <w:sz w:val="18"/>
        </w:rPr>
        <w:t xml:space="preserve">terapiją. Tuberkuliozės gydymą reikėtų pradėti nedelsiant ir </w:t>
      </w:r>
      <w:r w:rsidRPr="00A30AA4">
        <w:rPr>
          <w:rFonts w:ascii="Tahoma" w:hAnsi="Tahoma"/>
          <w:sz w:val="18"/>
        </w:rPr>
        <w:t xml:space="preserve">kuo skubiau paskirti gydymą antiretrovirusiniais vaistais. </w:t>
      </w:r>
    </w:p>
    <w:p w:rsidR="00DA3A70" w:rsidRPr="00A30AA4"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A30AA4">
        <w:rPr>
          <w:rFonts w:ascii="Tahoma" w:hAnsi="Tahoma"/>
          <w:b/>
          <w:sz w:val="24"/>
          <w:shd w:val="clear" w:color="auto" w:fill="D9D9D9"/>
        </w:rPr>
        <w:t>16 standartas</w:t>
      </w:r>
    </w:p>
    <w:p w:rsidR="00DA3A70" w:rsidRPr="00A30AA4" w:rsidP="0028467E">
      <w:pPr>
        <w:spacing w:after="120"/>
        <w:rPr>
          <w:rFonts w:ascii="Tahoma" w:hAnsi="Tahoma" w:cs="Tahoma"/>
          <w:sz w:val="18"/>
          <w:szCs w:val="18"/>
        </w:rPr>
      </w:pPr>
      <w:r w:rsidRPr="00A30AA4">
        <w:rPr>
          <w:rFonts w:ascii="Tahoma" w:hAnsi="Tahoma"/>
          <w:sz w:val="18"/>
        </w:rPr>
        <w:t xml:space="preserve">Gretutine ŽIV infekcija sergantiems asmenims, kuriems po išsamaus vertinimo nustatomi teigiami tyrimo dėl įtariamos latentinės </w:t>
      </w:r>
      <w:r w:rsidRPr="00A30AA4">
        <w:rPr>
          <w:rFonts w:ascii="Tahoma" w:hAnsi="Tahoma"/>
          <w:i/>
          <w:sz w:val="18"/>
        </w:rPr>
        <w:t>M. </w:t>
      </w:r>
      <w:r w:rsidRPr="00A30AA4">
        <w:rPr>
          <w:rFonts w:ascii="Tahoma" w:hAnsi="Tahoma"/>
          <w:i/>
          <w:sz w:val="18"/>
        </w:rPr>
        <w:t>tuberculosis</w:t>
      </w:r>
      <w:r w:rsidRPr="00A30AA4">
        <w:rPr>
          <w:rFonts w:ascii="Tahoma" w:hAnsi="Tahoma"/>
          <w:sz w:val="18"/>
        </w:rPr>
        <w:t xml:space="preserve"> infekcijos (TOT ir (arba) IGRA) rezultatai, bet kurie neserga aktyvia tuberkulioze, reikėtų pasiūlyti prevencinį </w:t>
      </w:r>
      <w:r w:rsidRPr="00A30AA4">
        <w:rPr>
          <w:rFonts w:ascii="Tahoma" w:hAnsi="Tahoma"/>
          <w:sz w:val="18"/>
        </w:rPr>
        <w:t>gydymą.</w:t>
      </w:r>
    </w:p>
    <w:p w:rsidR="00835340" w:rsidRPr="00A30AA4" w:rsidP="00355714">
      <w:pPr>
        <w:pStyle w:val="EC-Title-6"/>
        <w:keepNext/>
        <w:rPr>
          <w:sz w:val="18"/>
          <w:szCs w:val="18"/>
        </w:rPr>
      </w:pPr>
      <w:r w:rsidRPr="00A30AA4">
        <w:t>Tik ES taikomi reikalavimai</w:t>
      </w:r>
    </w:p>
    <w:p w:rsidR="00DA3A70" w:rsidRPr="00A30AA4" w:rsidP="000D0DB0">
      <w:pPr>
        <w:rPr>
          <w:rFonts w:ascii="Tahoma" w:hAnsi="Tahoma" w:cs="Tahoma"/>
          <w:sz w:val="18"/>
          <w:szCs w:val="18"/>
        </w:rPr>
      </w:pPr>
      <w:r w:rsidRPr="00A30AA4">
        <w:rPr>
          <w:rFonts w:ascii="Tahoma" w:hAnsi="Tahoma"/>
          <w:sz w:val="18"/>
        </w:rPr>
        <w:t xml:space="preserve">Kadangi žinoma, kad užsikrėtus tuberkulioze, gretutinė ŽIV infekcija didina aktyvios tuberkuliozės išsivystymo tikimybę, asmenims, kurių ŽIV serologinio tyrimo rezultatas yra teigiamas ir kurie </w:t>
      </w:r>
      <w:r w:rsidR="00AC5922">
        <w:rPr>
          <w:rFonts w:ascii="Tahoma" w:hAnsi="Tahoma"/>
          <w:sz w:val="18"/>
        </w:rPr>
        <w:t>turėjo sąlytį</w:t>
      </w:r>
      <w:r w:rsidRPr="00A30AA4" w:rsidR="00AC5922">
        <w:rPr>
          <w:rFonts w:ascii="Tahoma" w:hAnsi="Tahoma"/>
          <w:sz w:val="18"/>
        </w:rPr>
        <w:t xml:space="preserve"> </w:t>
      </w:r>
      <w:r w:rsidRPr="00A30AA4">
        <w:rPr>
          <w:rFonts w:ascii="Tahoma" w:hAnsi="Tahoma"/>
          <w:sz w:val="18"/>
        </w:rPr>
        <w:t>s</w:t>
      </w:r>
      <w:r w:rsidRPr="00A30AA4">
        <w:rPr>
          <w:rFonts w:ascii="Tahoma" w:hAnsi="Tahoma"/>
          <w:sz w:val="18"/>
        </w:rPr>
        <w:t xml:space="preserve">u </w:t>
      </w:r>
      <w:r w:rsidR="0041044D">
        <w:rPr>
          <w:rFonts w:ascii="Tahoma" w:hAnsi="Tahoma"/>
          <w:sz w:val="18"/>
        </w:rPr>
        <w:t xml:space="preserve">DVA tuberkulioze sergančiu </w:t>
      </w:r>
      <w:r w:rsidRPr="00A30AA4">
        <w:rPr>
          <w:rFonts w:ascii="Tahoma" w:hAnsi="Tahoma"/>
          <w:sz w:val="18"/>
        </w:rPr>
        <w:t xml:space="preserve">pacientu, </w:t>
      </w:r>
      <w:r w:rsidRPr="00A30AA4">
        <w:rPr>
          <w:rFonts w:ascii="Tahoma" w:hAnsi="Tahoma"/>
          <w:sz w:val="18"/>
        </w:rPr>
        <w:t xml:space="preserve"> reikėtų iš pradžių atlikti individualų rizikos vertinimą. Reikėtų reguliariai tikrinti ir kontroliuoti pacientų, kuriems nustatyt</w:t>
      </w:r>
      <w:r w:rsidR="0041044D">
        <w:rPr>
          <w:rFonts w:ascii="Tahoma" w:hAnsi="Tahoma"/>
          <w:sz w:val="18"/>
        </w:rPr>
        <w:t>a</w:t>
      </w:r>
      <w:r w:rsidRPr="00A30AA4">
        <w:rPr>
          <w:rFonts w:ascii="Tahoma" w:hAnsi="Tahoma"/>
          <w:sz w:val="18"/>
        </w:rPr>
        <w:t xml:space="preserve"> latentinė</w:t>
      </w:r>
      <w:r w:rsidRPr="00A30AA4">
        <w:rPr>
          <w:rFonts w:ascii="Tahoma" w:hAnsi="Tahoma"/>
          <w:sz w:val="18"/>
        </w:rPr>
        <w:t xml:space="preserve"> infekcij</w:t>
      </w:r>
      <w:r w:rsidR="0041044D">
        <w:rPr>
          <w:rFonts w:ascii="Tahoma" w:hAnsi="Tahoma"/>
          <w:sz w:val="18"/>
        </w:rPr>
        <w:t>a</w:t>
      </w:r>
      <w:r w:rsidRPr="00A30AA4">
        <w:rPr>
          <w:rFonts w:ascii="Tahoma" w:hAnsi="Tahoma"/>
          <w:sz w:val="18"/>
        </w:rPr>
        <w:t xml:space="preserve">, </w:t>
      </w:r>
      <w:r w:rsidRPr="00A30AA4">
        <w:rPr>
          <w:rFonts w:ascii="Tahoma" w:hAnsi="Tahoma"/>
          <w:sz w:val="18"/>
        </w:rPr>
        <w:t>klinikinę būklę. [35].</w:t>
      </w:r>
    </w:p>
    <w:p w:rsidR="00DA3A70" w:rsidRPr="00A30AA4" w:rsidP="0028467E">
      <w:pPr>
        <w:spacing w:after="120"/>
        <w:rPr>
          <w:rFonts w:ascii="Tahoma" w:hAnsi="Tahoma" w:cs="Tahoma"/>
          <w:sz w:val="18"/>
          <w:szCs w:val="18"/>
        </w:rPr>
      </w:pPr>
      <w:r w:rsidRPr="00A30AA4">
        <w:rPr>
          <w:rFonts w:ascii="Tahoma" w:hAnsi="Tahoma"/>
          <w:sz w:val="18"/>
        </w:rPr>
        <w:t xml:space="preserve">Taikant prevencinį gydymą, reikėtų atsižvelgti į infekcijos šaltiniui nustatyto </w:t>
      </w:r>
      <w:r w:rsidRPr="00A30AA4">
        <w:rPr>
          <w:rFonts w:ascii="Tahoma" w:hAnsi="Tahoma"/>
          <w:sz w:val="18"/>
        </w:rPr>
        <w:t>patogeno</w:t>
      </w:r>
      <w:r w:rsidRPr="00A30AA4">
        <w:rPr>
          <w:rFonts w:ascii="Tahoma" w:hAnsi="Tahoma"/>
          <w:sz w:val="18"/>
        </w:rPr>
        <w:t xml:space="preserve"> atsparumo vaistams ypatumus, </w:t>
      </w:r>
      <w:r w:rsidR="0041044D">
        <w:rPr>
          <w:rFonts w:ascii="Tahoma" w:hAnsi="Tahoma"/>
          <w:sz w:val="18"/>
        </w:rPr>
        <w:t xml:space="preserve">paciento </w:t>
      </w:r>
      <w:r w:rsidRPr="00A30AA4">
        <w:rPr>
          <w:rFonts w:ascii="Tahoma" w:hAnsi="Tahoma"/>
          <w:sz w:val="18"/>
        </w:rPr>
        <w:t>CD4 ląstelių skaičių ir vartojamus antiretrovirusinius vaistus. Taikant prevencinį gydymą, pacientui reikė</w:t>
      </w:r>
      <w:r w:rsidRPr="00A30AA4">
        <w:rPr>
          <w:rFonts w:ascii="Tahoma" w:hAnsi="Tahoma"/>
          <w:sz w:val="18"/>
        </w:rPr>
        <w:t xml:space="preserve">tų skirti vieną iš šių gydymo kursų: 6 mėnesių trukmės gydymą </w:t>
      </w:r>
      <w:r w:rsidRPr="00A30AA4">
        <w:rPr>
          <w:rFonts w:ascii="Tahoma" w:hAnsi="Tahoma"/>
          <w:sz w:val="18"/>
        </w:rPr>
        <w:t>izoniazidu</w:t>
      </w:r>
      <w:r w:rsidRPr="00A30AA4">
        <w:rPr>
          <w:rFonts w:ascii="Tahoma" w:hAnsi="Tahoma"/>
          <w:sz w:val="18"/>
        </w:rPr>
        <w:t xml:space="preserve">, 9 mėnesių trukmės gydymą </w:t>
      </w:r>
      <w:r w:rsidRPr="00A30AA4">
        <w:rPr>
          <w:rFonts w:ascii="Tahoma" w:hAnsi="Tahoma"/>
          <w:sz w:val="18"/>
        </w:rPr>
        <w:t>izoniazidu</w:t>
      </w:r>
      <w:r w:rsidRPr="00A30AA4">
        <w:rPr>
          <w:rFonts w:ascii="Tahoma" w:hAnsi="Tahoma"/>
          <w:sz w:val="18"/>
        </w:rPr>
        <w:t xml:space="preserve">, 3 mėnesių trukmės gydymą kas savaitę vartojamu </w:t>
      </w:r>
      <w:r w:rsidRPr="00A30AA4">
        <w:rPr>
          <w:rFonts w:ascii="Tahoma" w:hAnsi="Tahoma"/>
          <w:sz w:val="18"/>
        </w:rPr>
        <w:t>rifapentinu</w:t>
      </w:r>
      <w:r w:rsidRPr="00A30AA4">
        <w:rPr>
          <w:rFonts w:ascii="Tahoma" w:hAnsi="Tahoma"/>
          <w:sz w:val="18"/>
        </w:rPr>
        <w:t xml:space="preserve"> ir </w:t>
      </w:r>
      <w:r w:rsidRPr="00A30AA4">
        <w:rPr>
          <w:rFonts w:ascii="Tahoma" w:hAnsi="Tahoma"/>
          <w:sz w:val="18"/>
        </w:rPr>
        <w:t>izoniazidu</w:t>
      </w:r>
      <w:r w:rsidRPr="00A30AA4">
        <w:rPr>
          <w:rFonts w:ascii="Tahoma" w:hAnsi="Tahoma"/>
          <w:sz w:val="18"/>
        </w:rPr>
        <w:t xml:space="preserve">, 3–4 mėnesių trukmės gydymą </w:t>
      </w:r>
      <w:r w:rsidRPr="00A30AA4">
        <w:rPr>
          <w:rFonts w:ascii="Tahoma" w:hAnsi="Tahoma"/>
          <w:sz w:val="18"/>
        </w:rPr>
        <w:t>izoniazidu</w:t>
      </w:r>
      <w:r w:rsidRPr="00A30AA4">
        <w:rPr>
          <w:rFonts w:ascii="Tahoma" w:hAnsi="Tahoma"/>
          <w:sz w:val="18"/>
        </w:rPr>
        <w:t xml:space="preserve"> ir </w:t>
      </w:r>
      <w:r w:rsidRPr="00A30AA4">
        <w:rPr>
          <w:rFonts w:ascii="Tahoma" w:hAnsi="Tahoma"/>
          <w:sz w:val="18"/>
        </w:rPr>
        <w:t>rifampicinu</w:t>
      </w:r>
      <w:r w:rsidRPr="00A30AA4">
        <w:rPr>
          <w:rFonts w:ascii="Tahoma" w:hAnsi="Tahoma"/>
          <w:sz w:val="18"/>
        </w:rPr>
        <w:t>, 3–4 mėnesių trukm</w:t>
      </w:r>
      <w:r w:rsidRPr="00A30AA4">
        <w:rPr>
          <w:rFonts w:ascii="Tahoma" w:hAnsi="Tahoma"/>
          <w:sz w:val="18"/>
        </w:rPr>
        <w:t xml:space="preserve">ės gydymą vienu </w:t>
      </w:r>
      <w:r w:rsidRPr="00A30AA4">
        <w:rPr>
          <w:rFonts w:ascii="Tahoma" w:hAnsi="Tahoma"/>
          <w:sz w:val="18"/>
        </w:rPr>
        <w:t>rifampicinu</w:t>
      </w:r>
      <w:r w:rsidRPr="00A30AA4">
        <w:rPr>
          <w:rFonts w:ascii="Tahoma" w:hAnsi="Tahoma"/>
          <w:sz w:val="18"/>
        </w:rPr>
        <w:t xml:space="preserve"> [36, 37]. Dėl galimos vaistų sąveikos antiretrovirusinius vaistus vartojantiems ŽIV infekuotiems asmenims reikėtų atsargiai skirti gydymą </w:t>
      </w:r>
      <w:r w:rsidRPr="00A30AA4">
        <w:rPr>
          <w:rFonts w:ascii="Tahoma" w:hAnsi="Tahoma"/>
          <w:sz w:val="18"/>
        </w:rPr>
        <w:t>rifampicinu</w:t>
      </w:r>
      <w:r w:rsidRPr="00A30AA4">
        <w:rPr>
          <w:rFonts w:ascii="Tahoma" w:hAnsi="Tahoma"/>
          <w:sz w:val="18"/>
        </w:rPr>
        <w:t xml:space="preserve"> ir </w:t>
      </w:r>
      <w:r w:rsidRPr="00A30AA4">
        <w:rPr>
          <w:rFonts w:ascii="Tahoma" w:hAnsi="Tahoma"/>
          <w:sz w:val="18"/>
        </w:rPr>
        <w:t>rifapentinu</w:t>
      </w:r>
      <w:r w:rsidRPr="00A30AA4">
        <w:rPr>
          <w:rFonts w:ascii="Tahoma" w:hAnsi="Tahoma"/>
          <w:sz w:val="18"/>
        </w:rPr>
        <w:t xml:space="preserve"> arba vaistų deriniu su šiais vaistais [36, 38].</w:t>
      </w:r>
    </w:p>
    <w:p w:rsidR="00DA3A70" w:rsidRPr="00A30AA4" w:rsidP="00DB519A">
      <w:pPr>
        <w:shd w:val="clear" w:color="auto" w:fill="D9D9D9"/>
        <w:autoSpaceDE w:val="0"/>
        <w:autoSpaceDN w:val="0"/>
        <w:adjustRightInd w:val="0"/>
        <w:spacing w:after="0"/>
        <w:jc w:val="both"/>
        <w:rPr>
          <w:rFonts w:ascii="Tahoma" w:hAnsi="Tahoma" w:cs="Tahoma"/>
          <w:sz w:val="24"/>
          <w:szCs w:val="24"/>
        </w:rPr>
      </w:pPr>
      <w:r w:rsidRPr="00A30AA4">
        <w:rPr>
          <w:rFonts w:ascii="Tahoma" w:hAnsi="Tahoma"/>
          <w:b/>
          <w:sz w:val="24"/>
        </w:rPr>
        <w:t>17 standartas</w:t>
      </w:r>
    </w:p>
    <w:p w:rsidR="00DA3A70" w:rsidRPr="00A30AA4" w:rsidP="0028467E">
      <w:pPr>
        <w:spacing w:after="120"/>
        <w:rPr>
          <w:rFonts w:ascii="Tahoma" w:hAnsi="Tahoma" w:cs="Tahoma"/>
          <w:sz w:val="18"/>
          <w:szCs w:val="18"/>
        </w:rPr>
      </w:pPr>
      <w:r w:rsidRPr="00A30AA4">
        <w:rPr>
          <w:rFonts w:ascii="Tahoma" w:hAnsi="Tahoma"/>
          <w:sz w:val="18"/>
        </w:rPr>
        <w:t>V</w:t>
      </w:r>
      <w:r w:rsidRPr="00A30AA4">
        <w:rPr>
          <w:rFonts w:ascii="Tahoma" w:hAnsi="Tahoma"/>
          <w:sz w:val="18"/>
        </w:rPr>
        <w:t>isi sveikatos priežiūros paslaugų teikėjai turėtų visapusiškai įvertinti sveikatos sutrikimus, kurie gali turėti įtakos atsakui į tuberkuliozės gydymą arba tuberkuliozės gydymo rezultatams. Planuojant paciento gydymą, sveikatos priežiūros paslaugų teikėjas</w:t>
      </w:r>
      <w:r w:rsidRPr="00A30AA4">
        <w:rPr>
          <w:rFonts w:ascii="Tahoma" w:hAnsi="Tahoma"/>
          <w:sz w:val="18"/>
        </w:rPr>
        <w:t xml:space="preserve"> turėtų nustatyti papildomas paslaugas, kurios kiekvienam pacientui padėtų pasiekti optimalius gydymo rezultatus, ir įtraukti šias paslaugas į individualizuotą sveikatos priežiūros planą. Šis planas turėtų apimti </w:t>
      </w:r>
      <w:r w:rsidR="0041044D">
        <w:rPr>
          <w:rFonts w:ascii="Tahoma" w:hAnsi="Tahoma"/>
          <w:sz w:val="18"/>
        </w:rPr>
        <w:t xml:space="preserve">ištyrimą dėl </w:t>
      </w:r>
      <w:r w:rsidRPr="00A30AA4">
        <w:rPr>
          <w:rFonts w:ascii="Tahoma" w:hAnsi="Tahoma"/>
          <w:sz w:val="18"/>
        </w:rPr>
        <w:t xml:space="preserve">kitų ligų </w:t>
      </w:r>
      <w:r w:rsidRPr="00A30AA4">
        <w:rPr>
          <w:rFonts w:ascii="Tahoma" w:hAnsi="Tahoma"/>
          <w:sz w:val="18"/>
        </w:rPr>
        <w:t>ir siuntim</w:t>
      </w:r>
      <w:r w:rsidRPr="00A30AA4">
        <w:rPr>
          <w:rFonts w:ascii="Tahoma" w:hAnsi="Tahoma"/>
          <w:sz w:val="18"/>
        </w:rPr>
        <w:t>ų gydytis kitas ligas išdavimą, ypatingą dėmesį skiriant toms ligoms, kurios turi įtakos gydymo rezultatams, pvz., ŽIV, cukriniam diabetui, priklausomybei nuo narkotikų ir alkoholio, rūkymui ir kitoms psichologinėms bei socialinėms problemoms [39]. Taip pa</w:t>
      </w:r>
      <w:r w:rsidRPr="00A30AA4">
        <w:rPr>
          <w:rFonts w:ascii="Tahoma" w:hAnsi="Tahoma"/>
          <w:sz w:val="18"/>
        </w:rPr>
        <w:t xml:space="preserve">t pagal poreikį reikėtų teikti tokias paslaugas, kaip </w:t>
      </w:r>
      <w:r w:rsidRPr="00A30AA4">
        <w:rPr>
          <w:rFonts w:ascii="Tahoma" w:hAnsi="Tahoma"/>
          <w:sz w:val="18"/>
        </w:rPr>
        <w:t>prenatalinė</w:t>
      </w:r>
      <w:r w:rsidRPr="00A30AA4">
        <w:rPr>
          <w:rFonts w:ascii="Tahoma" w:hAnsi="Tahoma"/>
          <w:sz w:val="18"/>
        </w:rPr>
        <w:t xml:space="preserve"> arba kūdikių sveikatos priežiūra.</w:t>
      </w:r>
    </w:p>
    <w:p w:rsidR="00835340" w:rsidRPr="00A30AA4" w:rsidP="000D0DB0">
      <w:pPr>
        <w:pStyle w:val="EC-Title-6"/>
      </w:pPr>
      <w:r w:rsidRPr="00A30AA4">
        <w:t>Tik ES taikomi reikalavimai</w:t>
      </w:r>
    </w:p>
    <w:p w:rsidR="00DA3A70" w:rsidRPr="00A30AA4" w:rsidP="0028467E">
      <w:pPr>
        <w:spacing w:after="120"/>
        <w:rPr>
          <w:rFonts w:ascii="Tahoma" w:hAnsi="Tahoma" w:cs="Tahoma"/>
          <w:sz w:val="18"/>
          <w:szCs w:val="18"/>
        </w:rPr>
      </w:pPr>
      <w:r w:rsidRPr="00A30AA4">
        <w:rPr>
          <w:rFonts w:ascii="Tahoma" w:hAnsi="Tahoma"/>
          <w:sz w:val="18"/>
        </w:rPr>
        <w:t>Vykdant visų rūšių veiklą, reikėtų įgyvendinti visą PSO dokumente dėl laikinosios politikos bendradarbiavimo tuberkuliozės ir ŽI</w:t>
      </w:r>
      <w:r w:rsidRPr="00A30AA4">
        <w:rPr>
          <w:rFonts w:ascii="Tahoma" w:hAnsi="Tahoma"/>
          <w:sz w:val="18"/>
        </w:rPr>
        <w:t>V klausimais apibrėžtą paslaugų rinkinį – tiek šiame dokumente aprašytas, tiek kitas į PSO rinkinį įtrauktas paslaugas [34].</w:t>
      </w:r>
    </w:p>
    <w:p w:rsidR="00DA3A70" w:rsidRPr="00A30AA4" w:rsidP="0028467E">
      <w:pPr>
        <w:pStyle w:val="EC-Title-5"/>
        <w:spacing w:before="120"/>
        <w:rPr>
          <w:b w:val="0"/>
          <w:sz w:val="24"/>
          <w:szCs w:val="24"/>
        </w:rPr>
      </w:pPr>
      <w:r w:rsidRPr="00A30AA4">
        <w:t>Visuomenės sveikatos ir tuberkuliozės prevencijos standartai</w:t>
      </w:r>
    </w:p>
    <w:p w:rsidR="00DA3A70" w:rsidRPr="00A30AA4" w:rsidP="00DB519A">
      <w:pPr>
        <w:shd w:val="clear" w:color="auto" w:fill="D9D9D9"/>
        <w:autoSpaceDE w:val="0"/>
        <w:autoSpaceDN w:val="0"/>
        <w:adjustRightInd w:val="0"/>
        <w:spacing w:after="0"/>
        <w:jc w:val="both"/>
        <w:rPr>
          <w:rFonts w:ascii="Tahoma" w:hAnsi="Tahoma" w:cs="Tahoma"/>
          <w:sz w:val="24"/>
          <w:szCs w:val="24"/>
        </w:rPr>
      </w:pPr>
      <w:r w:rsidRPr="00A30AA4">
        <w:rPr>
          <w:rFonts w:ascii="Tahoma" w:hAnsi="Tahoma"/>
          <w:b/>
          <w:sz w:val="24"/>
        </w:rPr>
        <w:t>18 standartas</w:t>
      </w:r>
    </w:p>
    <w:p w:rsidR="00DA3A70" w:rsidRPr="00A30AA4" w:rsidP="0028467E">
      <w:pPr>
        <w:spacing w:after="120"/>
        <w:rPr>
          <w:rFonts w:ascii="Tahoma" w:hAnsi="Tahoma" w:cs="Tahoma"/>
          <w:sz w:val="18"/>
          <w:szCs w:val="18"/>
        </w:rPr>
      </w:pPr>
      <w:r w:rsidRPr="00A30AA4">
        <w:rPr>
          <w:rFonts w:ascii="Tahoma" w:hAnsi="Tahoma"/>
          <w:sz w:val="18"/>
        </w:rPr>
        <w:t>Visi tuberkulioze sergančių pacientų sveikatos priežiūro</w:t>
      </w:r>
      <w:r w:rsidRPr="00A30AA4">
        <w:rPr>
          <w:rFonts w:ascii="Tahoma" w:hAnsi="Tahoma"/>
          <w:sz w:val="18"/>
        </w:rPr>
        <w:t xml:space="preserve">s specialistai turėtų užtikrinti, kad asmenys, </w:t>
      </w:r>
      <w:r w:rsidR="0041044D">
        <w:rPr>
          <w:rFonts w:ascii="Tahoma" w:hAnsi="Tahoma"/>
          <w:sz w:val="18"/>
        </w:rPr>
        <w:t>turėję artimą sąlytį</w:t>
      </w:r>
      <w:r w:rsidRPr="00A30AA4">
        <w:rPr>
          <w:rFonts w:ascii="Tahoma" w:hAnsi="Tahoma"/>
          <w:sz w:val="18"/>
        </w:rPr>
        <w:t xml:space="preserve"> su aktyvia ir užkrečiama tuberkulioze sergančiais pacientais, būtų </w:t>
      </w:r>
      <w:r w:rsidR="0041044D">
        <w:rPr>
          <w:rFonts w:ascii="Tahoma" w:hAnsi="Tahoma"/>
          <w:sz w:val="18"/>
        </w:rPr>
        <w:t>ištirti</w:t>
      </w:r>
      <w:r w:rsidRPr="00A30AA4" w:rsidR="0041044D">
        <w:rPr>
          <w:rFonts w:ascii="Tahoma" w:hAnsi="Tahoma"/>
          <w:sz w:val="18"/>
        </w:rPr>
        <w:t xml:space="preserve"> </w:t>
      </w:r>
      <w:r w:rsidRPr="00A30AA4">
        <w:rPr>
          <w:rFonts w:ascii="Tahoma" w:hAnsi="Tahoma"/>
          <w:sz w:val="18"/>
        </w:rPr>
        <w:t>ir gydomi vadovaujantis tarptautinėmis rekomendacijomis. Artim</w:t>
      </w:r>
      <w:r w:rsidR="006135AD">
        <w:rPr>
          <w:rFonts w:ascii="Tahoma" w:hAnsi="Tahoma"/>
          <w:sz w:val="18"/>
        </w:rPr>
        <w:t>ą sąl</w:t>
      </w:r>
      <w:r w:rsidR="0041044D">
        <w:rPr>
          <w:rFonts w:ascii="Tahoma" w:hAnsi="Tahoma"/>
          <w:sz w:val="18"/>
        </w:rPr>
        <w:t>ytį turintys</w:t>
      </w:r>
      <w:r w:rsidRPr="00A30AA4">
        <w:rPr>
          <w:rFonts w:ascii="Tahoma" w:hAnsi="Tahoma"/>
          <w:sz w:val="18"/>
        </w:rPr>
        <w:t xml:space="preserve"> asmenys – tai tame pačiame namų ūkyje gyvenantys asmenys ir šeimos nariai, taip pat </w:t>
      </w:r>
      <w:r w:rsidR="0041044D">
        <w:rPr>
          <w:rFonts w:ascii="Tahoma" w:hAnsi="Tahoma"/>
          <w:sz w:val="18"/>
        </w:rPr>
        <w:t>uždaruose kolektyvuose</w:t>
      </w:r>
      <w:r w:rsidRPr="00A30AA4">
        <w:rPr>
          <w:rFonts w:ascii="Tahoma" w:hAnsi="Tahoma"/>
          <w:sz w:val="18"/>
        </w:rPr>
        <w:t xml:space="preserve">, pvz., kalėjimuose, benamių ar migrantų prieglaudose, ir </w:t>
      </w:r>
      <w:r w:rsidRPr="00A30AA4">
        <w:rPr>
          <w:rFonts w:ascii="Tahoma" w:hAnsi="Tahoma"/>
          <w:sz w:val="18"/>
        </w:rPr>
        <w:t>uždarose erdvėse</w:t>
      </w:r>
      <w:r w:rsidR="0041044D">
        <w:rPr>
          <w:rFonts w:ascii="Tahoma" w:hAnsi="Tahoma"/>
          <w:sz w:val="18"/>
        </w:rPr>
        <w:t>, tokiose</w:t>
      </w:r>
      <w:r w:rsidRPr="00A30AA4">
        <w:rPr>
          <w:rFonts w:ascii="Tahoma" w:hAnsi="Tahoma"/>
          <w:sz w:val="18"/>
        </w:rPr>
        <w:t xml:space="preserve"> kaip mokyklos ar biurai</w:t>
      </w:r>
      <w:r w:rsidR="0041044D">
        <w:rPr>
          <w:rFonts w:ascii="Tahoma" w:hAnsi="Tahoma"/>
          <w:sz w:val="18"/>
        </w:rPr>
        <w:t>,</w:t>
      </w:r>
      <w:r w:rsidRPr="00A30AA4">
        <w:rPr>
          <w:rFonts w:ascii="Tahoma" w:hAnsi="Tahoma"/>
          <w:sz w:val="18"/>
        </w:rPr>
        <w:t xml:space="preserve"> intensyviai </w:t>
      </w:r>
      <w:r w:rsidRPr="00A30AA4" w:rsidR="005B4C3B">
        <w:rPr>
          <w:rFonts w:ascii="Tahoma" w:hAnsi="Tahoma"/>
          <w:sz w:val="18"/>
        </w:rPr>
        <w:t xml:space="preserve">bendraujantys </w:t>
      </w:r>
      <w:r w:rsidRPr="00A30AA4">
        <w:rPr>
          <w:rFonts w:ascii="Tahoma" w:hAnsi="Tahoma"/>
          <w:sz w:val="18"/>
        </w:rPr>
        <w:t xml:space="preserve">arba ilgą laiką </w:t>
      </w:r>
      <w:r w:rsidR="005B4C3B">
        <w:rPr>
          <w:rFonts w:ascii="Tahoma" w:hAnsi="Tahoma"/>
          <w:sz w:val="18"/>
        </w:rPr>
        <w:t xml:space="preserve">esantys </w:t>
      </w:r>
      <w:r w:rsidRPr="00A30AA4">
        <w:rPr>
          <w:rFonts w:ascii="Tahoma" w:hAnsi="Tahoma"/>
          <w:sz w:val="18"/>
        </w:rPr>
        <w:t>asmenys.</w:t>
      </w:r>
    </w:p>
    <w:p w:rsidR="00DA3A70" w:rsidRPr="00A30AA4" w:rsidP="0028467E">
      <w:pPr>
        <w:spacing w:after="120"/>
        <w:rPr>
          <w:rFonts w:ascii="Tahoma" w:hAnsi="Tahoma" w:cs="Tahoma"/>
          <w:sz w:val="18"/>
          <w:szCs w:val="18"/>
        </w:rPr>
      </w:pPr>
      <w:r w:rsidRPr="00A30AA4">
        <w:rPr>
          <w:rFonts w:ascii="Tahoma" w:hAnsi="Tahoma"/>
          <w:sz w:val="18"/>
        </w:rPr>
        <w:t xml:space="preserve">Užsikrėtimo tuberkuliozės rizika priklauso nuo tuberkuliozės bakterijų koncentracijos ore, oro srauto, bendravimo su infekcijos šaltiniu trukmės ir </w:t>
      </w:r>
      <w:r w:rsidR="0041044D">
        <w:rPr>
          <w:rFonts w:ascii="Tahoma" w:hAnsi="Tahoma"/>
          <w:sz w:val="18"/>
        </w:rPr>
        <w:t>sąlytį turinčio</w:t>
      </w:r>
      <w:r w:rsidRPr="00A30AA4" w:rsidR="0041044D">
        <w:rPr>
          <w:rFonts w:ascii="Tahoma" w:hAnsi="Tahoma"/>
          <w:sz w:val="18"/>
        </w:rPr>
        <w:t xml:space="preserve"> </w:t>
      </w:r>
      <w:r w:rsidRPr="00A30AA4">
        <w:rPr>
          <w:rFonts w:ascii="Tahoma" w:hAnsi="Tahoma"/>
          <w:sz w:val="18"/>
        </w:rPr>
        <w:t xml:space="preserve">asmens imlumo infekcijai. </w:t>
      </w:r>
      <w:r w:rsidR="0041044D">
        <w:rPr>
          <w:rFonts w:ascii="Tahoma" w:hAnsi="Tahoma"/>
          <w:sz w:val="18"/>
        </w:rPr>
        <w:t>Sąlytį turėjusių</w:t>
      </w:r>
      <w:r w:rsidRPr="00A30AA4" w:rsidR="0041044D">
        <w:rPr>
          <w:rFonts w:ascii="Tahoma" w:hAnsi="Tahoma"/>
          <w:sz w:val="18"/>
        </w:rPr>
        <w:t xml:space="preserve"> </w:t>
      </w:r>
      <w:r w:rsidRPr="00A30AA4">
        <w:rPr>
          <w:rFonts w:ascii="Tahoma" w:hAnsi="Tahoma"/>
          <w:sz w:val="18"/>
        </w:rPr>
        <w:t xml:space="preserve">asmenų tyrimo prioritetai nustatomi atsižvelgiant į tai, kokia tikimybė, kad: </w:t>
      </w:r>
      <w:r w:rsidR="0041044D">
        <w:rPr>
          <w:rFonts w:ascii="Tahoma" w:hAnsi="Tahoma"/>
          <w:sz w:val="18"/>
        </w:rPr>
        <w:t>1</w:t>
      </w:r>
      <w:r w:rsidRPr="00A30AA4">
        <w:rPr>
          <w:rFonts w:ascii="Tahoma" w:hAnsi="Tahoma"/>
          <w:sz w:val="18"/>
        </w:rPr>
        <w:t xml:space="preserve">) </w:t>
      </w:r>
      <w:r w:rsidR="0041044D">
        <w:rPr>
          <w:rFonts w:ascii="Tahoma" w:hAnsi="Tahoma"/>
          <w:sz w:val="18"/>
        </w:rPr>
        <w:t>sąlytį turėjęs</w:t>
      </w:r>
      <w:r w:rsidRPr="00A30AA4" w:rsidR="0041044D">
        <w:rPr>
          <w:rFonts w:ascii="Tahoma" w:hAnsi="Tahoma"/>
          <w:sz w:val="18"/>
        </w:rPr>
        <w:t xml:space="preserve"> </w:t>
      </w:r>
      <w:r w:rsidRPr="00A30AA4">
        <w:rPr>
          <w:rFonts w:ascii="Tahoma" w:hAnsi="Tahoma"/>
          <w:sz w:val="18"/>
        </w:rPr>
        <w:t xml:space="preserve">asmuo serga nediagnozuota ir todėl negydoma tuberkulioze; 2) </w:t>
      </w:r>
      <w:r w:rsidR="0041044D">
        <w:rPr>
          <w:rFonts w:ascii="Tahoma" w:hAnsi="Tahoma"/>
          <w:sz w:val="18"/>
        </w:rPr>
        <w:t>sąlytį turėjusiam</w:t>
      </w:r>
      <w:r w:rsidRPr="00A30AA4" w:rsidR="0041044D">
        <w:rPr>
          <w:rFonts w:ascii="Tahoma" w:hAnsi="Tahoma"/>
          <w:sz w:val="18"/>
        </w:rPr>
        <w:t xml:space="preserve"> </w:t>
      </w:r>
      <w:r w:rsidRPr="00A30AA4">
        <w:rPr>
          <w:rFonts w:ascii="Tahoma" w:hAnsi="Tahoma"/>
          <w:sz w:val="18"/>
        </w:rPr>
        <w:t xml:space="preserve">asmeniui kyla didelis pavojus užsikrėsti nuo </w:t>
      </w:r>
      <w:r w:rsidR="0041044D">
        <w:rPr>
          <w:rFonts w:ascii="Tahoma" w:hAnsi="Tahoma"/>
          <w:sz w:val="18"/>
        </w:rPr>
        <w:t>infekcijos šaltinio</w:t>
      </w:r>
      <w:r w:rsidRPr="00A30AA4">
        <w:rPr>
          <w:rFonts w:ascii="Tahoma" w:hAnsi="Tahoma"/>
          <w:sz w:val="18"/>
        </w:rPr>
        <w:t xml:space="preserve">; 3) </w:t>
      </w:r>
      <w:r w:rsidR="0041044D">
        <w:rPr>
          <w:rFonts w:ascii="Tahoma" w:hAnsi="Tahoma"/>
          <w:sz w:val="18"/>
        </w:rPr>
        <w:t>sąlytį turėjusiam</w:t>
      </w:r>
      <w:r w:rsidRPr="00A30AA4" w:rsidR="0041044D">
        <w:rPr>
          <w:rFonts w:ascii="Tahoma" w:hAnsi="Tahoma"/>
          <w:sz w:val="18"/>
        </w:rPr>
        <w:t xml:space="preserve"> </w:t>
      </w:r>
      <w:r w:rsidRPr="00A30AA4">
        <w:rPr>
          <w:rFonts w:ascii="Tahoma" w:hAnsi="Tahoma"/>
          <w:sz w:val="18"/>
        </w:rPr>
        <w:t xml:space="preserve">asmeniui </w:t>
      </w:r>
      <w:r w:rsidR="0041044D">
        <w:rPr>
          <w:rFonts w:ascii="Tahoma" w:hAnsi="Tahoma"/>
          <w:sz w:val="18"/>
        </w:rPr>
        <w:t xml:space="preserve">yra didelė rizika </w:t>
      </w:r>
      <w:r w:rsidRPr="00A30AA4">
        <w:rPr>
          <w:rFonts w:ascii="Tahoma" w:hAnsi="Tahoma"/>
          <w:sz w:val="18"/>
        </w:rPr>
        <w:t>susirgti tuberkulioze</w:t>
      </w:r>
      <w:r w:rsidRPr="0041044D" w:rsidR="0041044D">
        <w:rPr>
          <w:rFonts w:ascii="Tahoma" w:hAnsi="Tahoma"/>
          <w:sz w:val="18"/>
        </w:rPr>
        <w:t xml:space="preserve"> </w:t>
      </w:r>
      <w:r w:rsidRPr="00A30AA4" w:rsidR="0041044D">
        <w:rPr>
          <w:rFonts w:ascii="Tahoma" w:hAnsi="Tahoma"/>
          <w:sz w:val="18"/>
        </w:rPr>
        <w:t>užkratui patekus į organizmą</w:t>
      </w:r>
      <w:r w:rsidRPr="00A30AA4">
        <w:rPr>
          <w:rFonts w:ascii="Tahoma" w:hAnsi="Tahoma"/>
          <w:sz w:val="18"/>
        </w:rPr>
        <w:t xml:space="preserve">; 4) </w:t>
      </w:r>
      <w:r w:rsidR="0041044D">
        <w:rPr>
          <w:rFonts w:ascii="Tahoma" w:hAnsi="Tahoma"/>
          <w:sz w:val="18"/>
        </w:rPr>
        <w:t>sąlytį turėjusiam</w:t>
      </w:r>
      <w:r w:rsidRPr="00A30AA4" w:rsidR="0041044D">
        <w:rPr>
          <w:rFonts w:ascii="Tahoma" w:hAnsi="Tahoma"/>
          <w:sz w:val="18"/>
        </w:rPr>
        <w:t xml:space="preserve"> </w:t>
      </w:r>
      <w:r w:rsidRPr="00A30AA4">
        <w:rPr>
          <w:rFonts w:ascii="Tahoma" w:hAnsi="Tahoma"/>
          <w:sz w:val="18"/>
        </w:rPr>
        <w:t xml:space="preserve">asmeniui kyla pavojus </w:t>
      </w:r>
      <w:r w:rsidRPr="00A30AA4">
        <w:rPr>
          <w:rFonts w:ascii="Tahoma" w:hAnsi="Tahoma"/>
          <w:sz w:val="18"/>
        </w:rPr>
        <w:t>susirgti sunkios formos tuberkulioze.</w:t>
      </w:r>
    </w:p>
    <w:p w:rsidR="00835340" w:rsidRPr="00A30AA4" w:rsidP="00835340">
      <w:pPr>
        <w:pStyle w:val="EC-Title-6"/>
      </w:pPr>
      <w:r w:rsidRPr="00A30AA4">
        <w:t>Tik ES taikomi reikalavimai</w:t>
      </w:r>
    </w:p>
    <w:p w:rsidR="00DA3A70" w:rsidRPr="00A30AA4" w:rsidP="0028467E">
      <w:pPr>
        <w:spacing w:after="120"/>
        <w:rPr>
          <w:rFonts w:ascii="Tahoma" w:hAnsi="Tahoma" w:cs="Tahoma"/>
          <w:sz w:val="18"/>
          <w:szCs w:val="18"/>
        </w:rPr>
      </w:pPr>
      <w:r w:rsidRPr="00A30AA4">
        <w:rPr>
          <w:rFonts w:ascii="Tahoma" w:hAnsi="Tahoma"/>
          <w:sz w:val="18"/>
        </w:rPr>
        <w:t xml:space="preserve">Vertinant galimai įvykusio užsikrėtimo tikimybę ir poreikį </w:t>
      </w:r>
      <w:r w:rsidR="006135AD">
        <w:rPr>
          <w:rFonts w:ascii="Tahoma" w:hAnsi="Tahoma"/>
          <w:sz w:val="18"/>
        </w:rPr>
        <w:t>nustatyti sąlytį turėjusius</w:t>
      </w:r>
      <w:r w:rsidRPr="00A30AA4">
        <w:rPr>
          <w:rFonts w:ascii="Tahoma" w:hAnsi="Tahoma"/>
          <w:sz w:val="18"/>
        </w:rPr>
        <w:t xml:space="preserve"> asmenis, reikėtų atidžiai apsvarstyti užsikrėtimą tuberkulioze ir imlumą šiai infekcijai lemiančius veiksnius [40]. </w:t>
      </w:r>
    </w:p>
    <w:p w:rsidR="00DA3A70" w:rsidRPr="00A30AA4" w:rsidP="0028467E">
      <w:pPr>
        <w:spacing w:after="120"/>
        <w:rPr>
          <w:rFonts w:ascii="Tahoma" w:hAnsi="Tahoma" w:cs="Tahoma"/>
          <w:sz w:val="18"/>
          <w:szCs w:val="18"/>
        </w:rPr>
      </w:pPr>
      <w:r w:rsidRPr="00A30AA4">
        <w:rPr>
          <w:rFonts w:ascii="Tahoma" w:hAnsi="Tahoma"/>
          <w:sz w:val="18"/>
        </w:rPr>
        <w:t>Su DVA ir IVA tuberkulioze sergančiais pacientais artim</w:t>
      </w:r>
      <w:r w:rsidR="006135AD">
        <w:rPr>
          <w:rFonts w:ascii="Tahoma" w:hAnsi="Tahoma"/>
          <w:sz w:val="18"/>
        </w:rPr>
        <w:t>ą</w:t>
      </w:r>
      <w:r w:rsidRPr="00A30AA4">
        <w:rPr>
          <w:rFonts w:ascii="Tahoma" w:hAnsi="Tahoma"/>
          <w:sz w:val="18"/>
        </w:rPr>
        <w:t xml:space="preserve"> </w:t>
      </w:r>
      <w:r w:rsidR="006135AD">
        <w:rPr>
          <w:rFonts w:ascii="Tahoma" w:hAnsi="Tahoma"/>
          <w:sz w:val="18"/>
        </w:rPr>
        <w:t>sąlytį turinčius</w:t>
      </w:r>
      <w:r w:rsidRPr="00A30AA4" w:rsidR="006135AD">
        <w:rPr>
          <w:rFonts w:ascii="Tahoma" w:hAnsi="Tahoma"/>
          <w:sz w:val="18"/>
        </w:rPr>
        <w:t xml:space="preserve"> </w:t>
      </w:r>
      <w:r w:rsidRPr="00A30AA4">
        <w:rPr>
          <w:rFonts w:ascii="Tahoma" w:hAnsi="Tahoma"/>
          <w:sz w:val="18"/>
        </w:rPr>
        <w:t>asmenis reikėtų ištirti dėl latentinės tuberkuliozės infekcijos (LT</w:t>
      </w:r>
      <w:r w:rsidR="006135AD">
        <w:rPr>
          <w:rFonts w:ascii="Tahoma" w:hAnsi="Tahoma"/>
          <w:sz w:val="18"/>
        </w:rPr>
        <w:t>B</w:t>
      </w:r>
      <w:r w:rsidRPr="00A30AA4">
        <w:rPr>
          <w:rFonts w:ascii="Tahoma" w:hAnsi="Tahoma"/>
          <w:sz w:val="18"/>
        </w:rPr>
        <w:t xml:space="preserve">I) ir tuberkuliozės, vadovaujantis nacionalinėmis gairėmis. </w:t>
      </w:r>
      <w:r w:rsidR="006135AD">
        <w:rPr>
          <w:rFonts w:ascii="Tahoma" w:hAnsi="Tahoma"/>
          <w:sz w:val="18"/>
        </w:rPr>
        <w:t>Sąlytį turėjusiems</w:t>
      </w:r>
      <w:r w:rsidRPr="00A30AA4" w:rsidR="006135AD">
        <w:rPr>
          <w:rFonts w:ascii="Tahoma" w:hAnsi="Tahoma"/>
          <w:sz w:val="18"/>
        </w:rPr>
        <w:t xml:space="preserve"> </w:t>
      </w:r>
      <w:r w:rsidRPr="00A30AA4">
        <w:rPr>
          <w:rFonts w:ascii="Tahoma" w:hAnsi="Tahoma"/>
          <w:sz w:val="18"/>
        </w:rPr>
        <w:t>asmenims, kurie, remiantis tyrimų rezultatais, neserga tuberkulioze, bet kuriems diagnozuot</w:t>
      </w:r>
      <w:r w:rsidRPr="00A30AA4">
        <w:rPr>
          <w:rFonts w:ascii="Tahoma" w:hAnsi="Tahoma"/>
          <w:sz w:val="18"/>
        </w:rPr>
        <w:t>a LT</w:t>
      </w:r>
      <w:r w:rsidR="006135AD">
        <w:rPr>
          <w:rFonts w:ascii="Tahoma" w:hAnsi="Tahoma"/>
          <w:sz w:val="18"/>
        </w:rPr>
        <w:t>B</w:t>
      </w:r>
      <w:r w:rsidRPr="00A30AA4">
        <w:rPr>
          <w:rFonts w:ascii="Tahoma" w:hAnsi="Tahoma"/>
          <w:sz w:val="18"/>
        </w:rPr>
        <w:t xml:space="preserve">I, reikėtų atlikti individualų rizikos vertinimą, siekiant nustatyti: 1) kokia tikimybė, kad </w:t>
      </w:r>
      <w:r w:rsidR="00583049">
        <w:rPr>
          <w:rFonts w:ascii="Tahoma" w:hAnsi="Tahoma"/>
          <w:sz w:val="18"/>
        </w:rPr>
        <w:t>sąlyti turėjusiam</w:t>
      </w:r>
      <w:r w:rsidRPr="00A30AA4" w:rsidR="00583049">
        <w:rPr>
          <w:rFonts w:ascii="Tahoma" w:hAnsi="Tahoma"/>
          <w:sz w:val="18"/>
        </w:rPr>
        <w:t xml:space="preserve"> </w:t>
      </w:r>
      <w:r w:rsidRPr="00A30AA4">
        <w:rPr>
          <w:rFonts w:ascii="Tahoma" w:hAnsi="Tahoma"/>
          <w:sz w:val="18"/>
        </w:rPr>
        <w:t xml:space="preserve">asmeniui išsivystys tuberkuliozė; 2) infekcijos šaltiniui nustatyto </w:t>
      </w:r>
      <w:r w:rsidRPr="00A30AA4">
        <w:rPr>
          <w:rFonts w:ascii="Tahoma" w:hAnsi="Tahoma"/>
          <w:sz w:val="18"/>
        </w:rPr>
        <w:t>patogeno</w:t>
      </w:r>
      <w:r w:rsidRPr="00A30AA4">
        <w:rPr>
          <w:rFonts w:ascii="Tahoma" w:hAnsi="Tahoma"/>
          <w:sz w:val="18"/>
        </w:rPr>
        <w:t xml:space="preserve"> </w:t>
      </w:r>
      <w:r w:rsidRPr="00A30AA4">
        <w:rPr>
          <w:rFonts w:ascii="Tahoma" w:hAnsi="Tahoma"/>
          <w:sz w:val="18"/>
        </w:rPr>
        <w:t xml:space="preserve">jautrumo vaistams ypatumus ir 3) </w:t>
      </w:r>
      <w:r w:rsidR="00583049">
        <w:rPr>
          <w:rFonts w:ascii="Tahoma" w:hAnsi="Tahoma"/>
          <w:sz w:val="18"/>
        </w:rPr>
        <w:t>sąlyti turėjusiam</w:t>
      </w:r>
      <w:r w:rsidRPr="00A30AA4" w:rsidR="00583049">
        <w:rPr>
          <w:rFonts w:ascii="Tahoma" w:hAnsi="Tahoma"/>
          <w:sz w:val="18"/>
        </w:rPr>
        <w:t xml:space="preserve"> </w:t>
      </w:r>
      <w:r w:rsidRPr="00A30AA4">
        <w:rPr>
          <w:rFonts w:ascii="Tahoma" w:hAnsi="Tahoma"/>
          <w:sz w:val="18"/>
        </w:rPr>
        <w:t xml:space="preserve">asmeniui kylančią nepageidaujamų </w:t>
      </w:r>
      <w:r w:rsidR="00583049">
        <w:rPr>
          <w:rFonts w:ascii="Tahoma" w:hAnsi="Tahoma"/>
          <w:sz w:val="18"/>
        </w:rPr>
        <w:t>reakcijų į vaistus</w:t>
      </w:r>
      <w:r w:rsidRPr="00A30AA4" w:rsidR="00583049">
        <w:rPr>
          <w:rFonts w:ascii="Tahoma" w:hAnsi="Tahoma"/>
          <w:sz w:val="18"/>
        </w:rPr>
        <w:t xml:space="preserve"> </w:t>
      </w:r>
      <w:r w:rsidRPr="00A30AA4">
        <w:rPr>
          <w:rFonts w:ascii="Tahoma" w:hAnsi="Tahoma"/>
          <w:sz w:val="18"/>
        </w:rPr>
        <w:t>riziką, pradėjus LT</w:t>
      </w:r>
      <w:r w:rsidR="006135AD">
        <w:rPr>
          <w:rFonts w:ascii="Tahoma" w:hAnsi="Tahoma"/>
          <w:sz w:val="18"/>
        </w:rPr>
        <w:t>B</w:t>
      </w:r>
      <w:r w:rsidRPr="00A30AA4">
        <w:rPr>
          <w:rFonts w:ascii="Tahoma" w:hAnsi="Tahoma"/>
          <w:sz w:val="18"/>
        </w:rPr>
        <w:t>I gydymą [36, 38]. Nepaisant to, kokios būtų klinikinės rekomendacijos dėl LT</w:t>
      </w:r>
      <w:r w:rsidR="006135AD">
        <w:rPr>
          <w:rFonts w:ascii="Tahoma" w:hAnsi="Tahoma"/>
          <w:sz w:val="18"/>
        </w:rPr>
        <w:t>B</w:t>
      </w:r>
      <w:r w:rsidRPr="00A30AA4">
        <w:rPr>
          <w:rFonts w:ascii="Tahoma" w:hAnsi="Tahoma"/>
          <w:sz w:val="18"/>
        </w:rPr>
        <w:t>I gydymo, LT</w:t>
      </w:r>
      <w:r w:rsidR="006135AD">
        <w:rPr>
          <w:rFonts w:ascii="Tahoma" w:hAnsi="Tahoma"/>
          <w:sz w:val="18"/>
        </w:rPr>
        <w:t>B</w:t>
      </w:r>
      <w:r w:rsidRPr="00A30AA4">
        <w:rPr>
          <w:rFonts w:ascii="Tahoma" w:hAnsi="Tahoma"/>
          <w:sz w:val="18"/>
        </w:rPr>
        <w:t xml:space="preserve">I ir tuberkuliozės gydymo patirties turintys sveikatos </w:t>
      </w:r>
      <w:r w:rsidRPr="00A30AA4">
        <w:rPr>
          <w:rFonts w:ascii="Tahoma" w:hAnsi="Tahoma"/>
          <w:sz w:val="18"/>
        </w:rPr>
        <w:t xml:space="preserve">priežiūros srities darbuotojai turėtų atidžiai stebėti šių kontaktuojančių asmenų klinikinę būklę, taip pat išsamiai informuoti ir </w:t>
      </w:r>
      <w:r w:rsidRPr="005B4C3B">
        <w:rPr>
          <w:rFonts w:ascii="Tahoma" w:hAnsi="Tahoma"/>
          <w:sz w:val="18"/>
        </w:rPr>
        <w:t>visokeriopai šviesti juos sveikat</w:t>
      </w:r>
      <w:r w:rsidRPr="005B4C3B" w:rsidR="005B4C3B">
        <w:rPr>
          <w:rFonts w:ascii="Tahoma" w:hAnsi="Tahoma"/>
          <w:sz w:val="18"/>
        </w:rPr>
        <w:t>os</w:t>
      </w:r>
      <w:r w:rsidRPr="005B4C3B">
        <w:rPr>
          <w:rFonts w:ascii="Tahoma" w:hAnsi="Tahoma"/>
          <w:sz w:val="18"/>
        </w:rPr>
        <w:t xml:space="preserve"> klausimais</w:t>
      </w:r>
      <w:r w:rsidRPr="00A30AA4">
        <w:rPr>
          <w:rFonts w:ascii="Tahoma" w:hAnsi="Tahoma"/>
          <w:sz w:val="18"/>
        </w:rPr>
        <w:t xml:space="preserve"> [35, 41].</w:t>
      </w:r>
    </w:p>
    <w:p w:rsidR="00DA3A70" w:rsidRPr="00A30AA4" w:rsidP="0028467E">
      <w:pPr>
        <w:spacing w:after="120"/>
        <w:rPr>
          <w:rFonts w:ascii="Tahoma" w:hAnsi="Tahoma" w:cs="Tahoma"/>
          <w:sz w:val="18"/>
          <w:szCs w:val="18"/>
        </w:rPr>
      </w:pPr>
      <w:r w:rsidRPr="00A30AA4">
        <w:rPr>
          <w:rFonts w:ascii="Tahoma" w:hAnsi="Tahoma"/>
          <w:sz w:val="18"/>
        </w:rPr>
        <w:t xml:space="preserve">Siekiant </w:t>
      </w:r>
      <w:r w:rsidR="00AC5922">
        <w:rPr>
          <w:rFonts w:ascii="Tahoma" w:hAnsi="Tahoma"/>
          <w:sz w:val="18"/>
        </w:rPr>
        <w:t>nustatyti sąlytį turėjusius</w:t>
      </w:r>
      <w:r w:rsidRPr="00A30AA4" w:rsidR="00AC5922">
        <w:rPr>
          <w:rFonts w:ascii="Tahoma" w:hAnsi="Tahoma"/>
          <w:sz w:val="18"/>
        </w:rPr>
        <w:t xml:space="preserve"> </w:t>
      </w:r>
      <w:r w:rsidRPr="00A30AA4">
        <w:rPr>
          <w:rFonts w:ascii="Tahoma" w:hAnsi="Tahoma"/>
          <w:sz w:val="18"/>
        </w:rPr>
        <w:t>asmenis pažeidžiamose ir sunkiai pasiekiamose gyventojų grupėse, rekomenduojama į šį procesą įtraukti vietos bendruomenės organizacijas (įskaitant bendruomenės sveikatos priežiūros srities darbuotojus, su klinikine praktika nesusijusius specialistus ir tos</w:t>
      </w:r>
      <w:r w:rsidRPr="00A30AA4">
        <w:rPr>
          <w:rFonts w:ascii="Tahoma" w:hAnsi="Tahoma"/>
          <w:sz w:val="18"/>
        </w:rPr>
        <w:t xml:space="preserve"> pačios socialinės grupės atstovus). Toks požiūris gali padėti sėkmingai nustatyti galimus </w:t>
      </w:r>
      <w:r w:rsidR="00AC5922">
        <w:rPr>
          <w:rFonts w:ascii="Tahoma" w:hAnsi="Tahoma"/>
          <w:sz w:val="18"/>
        </w:rPr>
        <w:t>sąlytį turėjusius</w:t>
      </w:r>
      <w:r w:rsidRPr="00A30AA4" w:rsidR="00AC5922">
        <w:rPr>
          <w:rFonts w:ascii="Tahoma" w:hAnsi="Tahoma"/>
          <w:sz w:val="18"/>
        </w:rPr>
        <w:t xml:space="preserve"> </w:t>
      </w:r>
      <w:r w:rsidRPr="00A30AA4">
        <w:rPr>
          <w:rFonts w:ascii="Tahoma" w:hAnsi="Tahoma"/>
          <w:sz w:val="18"/>
        </w:rPr>
        <w:t>asmenis [42, 43].</w:t>
      </w:r>
    </w:p>
    <w:p w:rsidR="0098145B" w:rsidRPr="00A30AA4" w:rsidP="0028467E">
      <w:pPr>
        <w:spacing w:after="120"/>
        <w:rPr>
          <w:rFonts w:ascii="Tahoma" w:hAnsi="Tahoma" w:cs="Tahoma"/>
          <w:sz w:val="18"/>
          <w:szCs w:val="18"/>
        </w:rPr>
      </w:pPr>
      <w:r w:rsidRPr="00A30AA4">
        <w:rPr>
          <w:rFonts w:ascii="Tahoma" w:hAnsi="Tahoma"/>
          <w:sz w:val="18"/>
        </w:rPr>
        <w:t>Gydytojai praktikai ir nacionalinių programų vykdytojai turėtų bendrauti su atitinkamomis migrantų grupių ar jud</w:t>
      </w:r>
      <w:r w:rsidRPr="00A30AA4">
        <w:rPr>
          <w:rFonts w:ascii="Tahoma" w:hAnsi="Tahoma"/>
          <w:sz w:val="18"/>
        </w:rPr>
        <w:t xml:space="preserve">žių gyventojų grupių, kurioms priklauso tuberkulioze sergantys pacientai, priimančiųjų ir (arba) buveinės šalių sveikatos priežiūros institucijomis, kad prireikus būtų galima užtikrinti šių pacientų sveikatos priežiūros tęstinumą ir nustatyti </w:t>
      </w:r>
      <w:r w:rsidR="00AC5922">
        <w:rPr>
          <w:rFonts w:ascii="Tahoma" w:hAnsi="Tahoma"/>
          <w:sz w:val="18"/>
        </w:rPr>
        <w:t>sąlytį turėjusius</w:t>
      </w:r>
      <w:r w:rsidRPr="00A30AA4" w:rsidR="00AC5922">
        <w:rPr>
          <w:rFonts w:ascii="Tahoma" w:hAnsi="Tahoma"/>
          <w:sz w:val="18"/>
        </w:rPr>
        <w:t xml:space="preserve"> </w:t>
      </w:r>
      <w:r w:rsidRPr="00A30AA4">
        <w:rPr>
          <w:rFonts w:ascii="Tahoma" w:hAnsi="Tahoma"/>
          <w:sz w:val="18"/>
        </w:rPr>
        <w:t xml:space="preserve">asmenis [44]. </w:t>
      </w:r>
    </w:p>
    <w:p w:rsidR="0098145B" w:rsidRPr="00A30AA4" w:rsidP="000D0DB0">
      <w:r w:rsidRPr="00A30AA4">
        <w:br w:type="page"/>
      </w:r>
    </w:p>
    <w:p w:rsidR="00DA3A70" w:rsidRPr="00A30AA4" w:rsidP="00604B0D">
      <w:pPr>
        <w:shd w:val="clear" w:color="auto" w:fill="D9D9D9"/>
        <w:autoSpaceDE w:val="0"/>
        <w:autoSpaceDN w:val="0"/>
        <w:adjustRightInd w:val="0"/>
        <w:spacing w:after="0"/>
        <w:jc w:val="both"/>
        <w:rPr>
          <w:rFonts w:ascii="Tahoma" w:hAnsi="Tahoma" w:cs="Tahoma"/>
          <w:b/>
          <w:bCs/>
          <w:i/>
          <w:sz w:val="24"/>
          <w:szCs w:val="24"/>
        </w:rPr>
      </w:pPr>
      <w:r w:rsidRPr="00A30AA4">
        <w:rPr>
          <w:rFonts w:ascii="Tahoma" w:hAnsi="Tahoma"/>
          <w:b/>
          <w:sz w:val="24"/>
          <w:shd w:val="clear" w:color="auto" w:fill="D9D9D9"/>
        </w:rPr>
        <w:t>19 standartas</w:t>
      </w:r>
    </w:p>
    <w:p w:rsidR="00DA3A70" w:rsidRPr="00A30AA4" w:rsidP="0028467E">
      <w:pPr>
        <w:spacing w:after="120"/>
        <w:rPr>
          <w:rFonts w:ascii="Tahoma" w:hAnsi="Tahoma" w:cs="Tahoma"/>
          <w:sz w:val="18"/>
          <w:szCs w:val="18"/>
        </w:rPr>
      </w:pPr>
      <w:r w:rsidRPr="00A30AA4">
        <w:rPr>
          <w:rFonts w:ascii="Tahoma" w:hAnsi="Tahoma"/>
          <w:sz w:val="18"/>
        </w:rPr>
        <w:t xml:space="preserve">Su užkrečiama tuberkulioze sergančiu pacientu </w:t>
      </w:r>
      <w:r w:rsidR="00E26D3C">
        <w:rPr>
          <w:rFonts w:ascii="Tahoma" w:hAnsi="Tahoma"/>
          <w:sz w:val="18"/>
        </w:rPr>
        <w:t>sąlytį turėjusius</w:t>
      </w:r>
      <w:r w:rsidRPr="00A30AA4" w:rsidR="00E26D3C">
        <w:rPr>
          <w:rFonts w:ascii="Tahoma" w:hAnsi="Tahoma"/>
          <w:sz w:val="18"/>
        </w:rPr>
        <w:t xml:space="preserve"> </w:t>
      </w:r>
      <w:r w:rsidRPr="00A30AA4">
        <w:rPr>
          <w:rFonts w:ascii="Tahoma" w:hAnsi="Tahoma"/>
          <w:sz w:val="18"/>
        </w:rPr>
        <w:t xml:space="preserve">asmenis, ŽIV infekuotus asmenis, pacientus, kuriems pradėtas taikyti gydymas naviko nekrozės faktoriaus (NNF) inhibitoriais, pacientus, kuriems atliekama dializė, taip pat pacientus, kurie ruošiami organų ar kaulų čiulpų persodinimui, ir </w:t>
      </w:r>
      <w:r w:rsidRPr="00A30AA4">
        <w:rPr>
          <w:rFonts w:ascii="Tahoma" w:hAnsi="Tahoma"/>
          <w:sz w:val="18"/>
        </w:rPr>
        <w:t>silikoze</w:t>
      </w:r>
      <w:r w:rsidRPr="00A30AA4">
        <w:rPr>
          <w:rFonts w:ascii="Tahoma" w:hAnsi="Tahoma"/>
          <w:sz w:val="18"/>
        </w:rPr>
        <w:t xml:space="preserve"> sergančiu</w:t>
      </w:r>
      <w:r w:rsidRPr="00A30AA4">
        <w:rPr>
          <w:rFonts w:ascii="Tahoma" w:hAnsi="Tahoma"/>
          <w:sz w:val="18"/>
        </w:rPr>
        <w:t xml:space="preserve">s pacientus reikėtų ištirti dėl latentinės tuberkuliozės infekcijos. Nustačius latentinę tuberkuliozės infekciją, reikėtų atidžiai </w:t>
      </w:r>
      <w:r w:rsidR="00E26D3C">
        <w:rPr>
          <w:rFonts w:ascii="Tahoma" w:hAnsi="Tahoma"/>
          <w:sz w:val="18"/>
        </w:rPr>
        <w:t>ištirti</w:t>
      </w:r>
      <w:r w:rsidRPr="00A30AA4" w:rsidR="00E26D3C">
        <w:rPr>
          <w:rFonts w:ascii="Tahoma" w:hAnsi="Tahoma"/>
          <w:sz w:val="18"/>
        </w:rPr>
        <w:t xml:space="preserve"> </w:t>
      </w:r>
      <w:r w:rsidRPr="00A30AA4">
        <w:rPr>
          <w:rFonts w:ascii="Tahoma" w:hAnsi="Tahoma"/>
          <w:sz w:val="18"/>
        </w:rPr>
        <w:t>šių pacientų sveikatą dėl aktyvios tuberkuliozės. Atmetus aktyvios tuberkuliozės galimybę, pacientams reikė</w:t>
      </w:r>
      <w:r w:rsidRPr="00A30AA4">
        <w:rPr>
          <w:rFonts w:ascii="Tahoma" w:hAnsi="Tahoma"/>
          <w:sz w:val="18"/>
        </w:rPr>
        <w:t>tų pasiūlyti prevencinį gydymą taikant PSO rekomenduojamą gydymo režimą.</w:t>
      </w:r>
    </w:p>
    <w:p w:rsidR="00DA3A70" w:rsidRPr="00A30AA4" w:rsidP="000D0DB0">
      <w:pPr>
        <w:pStyle w:val="EC-Title-6"/>
        <w:rPr>
          <w:b w:val="0"/>
          <w:sz w:val="24"/>
          <w:szCs w:val="24"/>
        </w:rPr>
      </w:pPr>
      <w:r w:rsidRPr="00A30AA4">
        <w:rPr>
          <w:sz w:val="24"/>
        </w:rPr>
        <w:t>Tik ES taikomi reikalavimai</w:t>
      </w:r>
    </w:p>
    <w:p w:rsidR="00DA3A70" w:rsidRPr="00A30AA4" w:rsidP="0028467E">
      <w:pPr>
        <w:spacing w:after="120"/>
        <w:rPr>
          <w:rFonts w:ascii="Tahoma" w:hAnsi="Tahoma" w:cs="Tahoma"/>
          <w:sz w:val="18"/>
          <w:szCs w:val="18"/>
        </w:rPr>
      </w:pPr>
      <w:r>
        <w:rPr>
          <w:rFonts w:ascii="Tahoma" w:hAnsi="Tahoma"/>
          <w:sz w:val="18"/>
        </w:rPr>
        <w:t>Pirminiam</w:t>
      </w:r>
      <w:r w:rsidRPr="00A30AA4">
        <w:rPr>
          <w:rFonts w:ascii="Tahoma" w:hAnsi="Tahoma"/>
          <w:sz w:val="18"/>
        </w:rPr>
        <w:t xml:space="preserve"> </w:t>
      </w:r>
      <w:r w:rsidRPr="00A30AA4" w:rsidR="00F53DEE">
        <w:rPr>
          <w:rFonts w:ascii="Tahoma" w:hAnsi="Tahoma"/>
          <w:sz w:val="18"/>
        </w:rPr>
        <w:t xml:space="preserve">pacientui diagnozavus užkrečiamą tuberkuliozę ir pranešus apie tokį atvejį, gydytojai praktikai, įgyvendindami atitinkamas </w:t>
      </w:r>
      <w:r>
        <w:rPr>
          <w:rFonts w:ascii="Tahoma" w:hAnsi="Tahoma"/>
          <w:sz w:val="18"/>
        </w:rPr>
        <w:t>sąlytį turėjusių</w:t>
      </w:r>
      <w:r w:rsidRPr="00A30AA4">
        <w:rPr>
          <w:rFonts w:ascii="Tahoma" w:hAnsi="Tahoma"/>
          <w:sz w:val="18"/>
        </w:rPr>
        <w:t xml:space="preserve"> </w:t>
      </w:r>
      <w:r w:rsidRPr="00A30AA4" w:rsidR="00F53DEE">
        <w:rPr>
          <w:rFonts w:ascii="Tahoma" w:hAnsi="Tahoma"/>
          <w:sz w:val="18"/>
        </w:rPr>
        <w:t xml:space="preserve">asmenų </w:t>
      </w:r>
      <w:r>
        <w:rPr>
          <w:rFonts w:ascii="Tahoma" w:hAnsi="Tahoma"/>
          <w:sz w:val="18"/>
        </w:rPr>
        <w:t>nustatymo</w:t>
      </w:r>
      <w:r w:rsidRPr="00A30AA4">
        <w:rPr>
          <w:rFonts w:ascii="Tahoma" w:hAnsi="Tahoma"/>
          <w:sz w:val="18"/>
        </w:rPr>
        <w:t xml:space="preserve"> </w:t>
      </w:r>
      <w:r w:rsidRPr="00A30AA4" w:rsidR="00F53DEE">
        <w:rPr>
          <w:rFonts w:ascii="Tahoma" w:hAnsi="Tahoma"/>
          <w:sz w:val="18"/>
        </w:rPr>
        <w:t xml:space="preserve">procedūras, kurios vykdomos vadovaujantis nacionalinėmis ir tarptautinėmis rekomendacijomis dėl besiplečiančio </w:t>
      </w:r>
      <w:r>
        <w:rPr>
          <w:rFonts w:ascii="Tahoma" w:hAnsi="Tahoma"/>
          <w:sz w:val="18"/>
        </w:rPr>
        <w:t>sąlytį turėjusių</w:t>
      </w:r>
      <w:r w:rsidRPr="00A30AA4">
        <w:rPr>
          <w:rFonts w:ascii="Tahoma" w:hAnsi="Tahoma"/>
          <w:sz w:val="18"/>
        </w:rPr>
        <w:t xml:space="preserve"> </w:t>
      </w:r>
      <w:r w:rsidRPr="00A30AA4" w:rsidR="00F53DEE">
        <w:rPr>
          <w:rFonts w:ascii="Tahoma" w:hAnsi="Tahoma"/>
          <w:sz w:val="18"/>
        </w:rPr>
        <w:t xml:space="preserve">asmenų rato, turėtų bendradarbiauti su visuomenės sveikatos institucijomis [40, 41, 45, 46]. Taip pat, nustačius tuberkulioze (bet kurios </w:t>
      </w:r>
      <w:r w:rsidRPr="00A30AA4" w:rsidR="00F53DEE">
        <w:rPr>
          <w:rFonts w:ascii="Tahoma" w:hAnsi="Tahoma"/>
          <w:sz w:val="18"/>
        </w:rPr>
        <w:t>lokalizacijos</w:t>
      </w:r>
      <w:r w:rsidRPr="00E26D3C">
        <w:rPr>
          <w:rFonts w:ascii="Tahoma" w:hAnsi="Tahoma"/>
          <w:sz w:val="18"/>
        </w:rPr>
        <w:t xml:space="preserve"> </w:t>
      </w:r>
      <w:r w:rsidRPr="00A30AA4">
        <w:rPr>
          <w:rFonts w:ascii="Tahoma" w:hAnsi="Tahoma"/>
          <w:sz w:val="18"/>
        </w:rPr>
        <w:t>infekcij</w:t>
      </w:r>
      <w:r>
        <w:rPr>
          <w:rFonts w:ascii="Tahoma" w:hAnsi="Tahoma"/>
          <w:sz w:val="18"/>
        </w:rPr>
        <w:t>a</w:t>
      </w:r>
      <w:r w:rsidRPr="00A30AA4" w:rsidR="00F53DEE">
        <w:rPr>
          <w:rFonts w:ascii="Tahoma" w:hAnsi="Tahoma"/>
          <w:sz w:val="18"/>
        </w:rPr>
        <w:t>) sergantį vaiką ir tais atvejais, kai nenustatomas infekcijos šaltinis, reikėtų pra</w:t>
      </w:r>
      <w:r w:rsidRPr="00A30AA4" w:rsidR="00F53DEE">
        <w:rPr>
          <w:rFonts w:ascii="Tahoma" w:hAnsi="Tahoma"/>
          <w:sz w:val="18"/>
        </w:rPr>
        <w:t xml:space="preserve">dėti infekcijos šaltinio paiešką ir nustatyti </w:t>
      </w:r>
      <w:r>
        <w:rPr>
          <w:rFonts w:ascii="Tahoma" w:hAnsi="Tahoma"/>
          <w:sz w:val="18"/>
        </w:rPr>
        <w:t>sąlytį turėjusius</w:t>
      </w:r>
      <w:r w:rsidRPr="00A30AA4">
        <w:rPr>
          <w:rFonts w:ascii="Tahoma" w:hAnsi="Tahoma"/>
          <w:sz w:val="18"/>
        </w:rPr>
        <w:t xml:space="preserve"> </w:t>
      </w:r>
      <w:r w:rsidRPr="00A30AA4" w:rsidR="00F53DEE">
        <w:rPr>
          <w:rFonts w:ascii="Tahoma" w:hAnsi="Tahoma"/>
          <w:sz w:val="18"/>
        </w:rPr>
        <w:t xml:space="preserve">asmenis [41, 47]. </w:t>
      </w:r>
    </w:p>
    <w:p w:rsidR="00DA3A70" w:rsidRPr="00A30AA4" w:rsidP="0028467E">
      <w:pPr>
        <w:spacing w:after="120"/>
        <w:rPr>
          <w:rFonts w:ascii="Tahoma" w:hAnsi="Tahoma" w:cs="Tahoma"/>
          <w:sz w:val="18"/>
          <w:szCs w:val="18"/>
        </w:rPr>
      </w:pPr>
      <w:r w:rsidRPr="00A30AA4">
        <w:rPr>
          <w:rFonts w:ascii="Tahoma" w:hAnsi="Tahoma"/>
          <w:sz w:val="18"/>
        </w:rPr>
        <w:t xml:space="preserve">Asmenis, kuriems taikomas gydymas NNF-ɑ inhibitoriais, reikėtų laikyti prie didelės rizikos grupės priskiriamais </w:t>
      </w:r>
      <w:r w:rsidR="00E26D3C">
        <w:rPr>
          <w:rFonts w:ascii="Tahoma" w:hAnsi="Tahoma"/>
          <w:sz w:val="18"/>
        </w:rPr>
        <w:t>sąlytį turėjusiais</w:t>
      </w:r>
      <w:r w:rsidRPr="00A30AA4" w:rsidR="00E26D3C">
        <w:rPr>
          <w:rFonts w:ascii="Tahoma" w:hAnsi="Tahoma"/>
          <w:sz w:val="18"/>
        </w:rPr>
        <w:t xml:space="preserve"> </w:t>
      </w:r>
      <w:r w:rsidRPr="00A30AA4">
        <w:rPr>
          <w:rFonts w:ascii="Tahoma" w:hAnsi="Tahoma"/>
          <w:sz w:val="18"/>
        </w:rPr>
        <w:t>asmeni</w:t>
      </w:r>
      <w:r w:rsidRPr="00A30AA4">
        <w:rPr>
          <w:rFonts w:ascii="Tahoma" w:hAnsi="Tahoma"/>
          <w:sz w:val="18"/>
        </w:rPr>
        <w:t xml:space="preserve">mis. Pagal ESSTPS Nr. 16, jeigu tuberkuliozės infekcija nustatoma atliekant TOT ir (arba) IGRA ir atmetama aktyvios tuberkuliozės galimybė, asmenų, kurie užsikrėtę ŽIV arba serga gretutinėmis ligomis, </w:t>
      </w:r>
      <w:r w:rsidR="00E70E72">
        <w:rPr>
          <w:rFonts w:ascii="Tahoma" w:hAnsi="Tahoma"/>
          <w:sz w:val="18"/>
        </w:rPr>
        <w:t xml:space="preserve">latentinės tuberkuliozės infekcijos </w:t>
      </w:r>
      <w:r w:rsidRPr="00A30AA4">
        <w:rPr>
          <w:rFonts w:ascii="Tahoma" w:hAnsi="Tahoma"/>
          <w:sz w:val="18"/>
        </w:rPr>
        <w:t xml:space="preserve">gydymą reikėtų </w:t>
      </w:r>
      <w:r w:rsidRPr="00A30AA4">
        <w:rPr>
          <w:rFonts w:ascii="Tahoma" w:hAnsi="Tahoma"/>
          <w:sz w:val="18"/>
        </w:rPr>
        <w:t>pradėti nedelsiant [10, 36, 38, 40, 48, 49].</w:t>
      </w:r>
    </w:p>
    <w:p w:rsidR="00DA3A70" w:rsidRPr="00A30AA4" w:rsidP="00DB519A">
      <w:pPr>
        <w:shd w:val="clear" w:color="auto" w:fill="D9D9D9"/>
        <w:autoSpaceDE w:val="0"/>
        <w:autoSpaceDN w:val="0"/>
        <w:adjustRightInd w:val="0"/>
        <w:spacing w:after="0"/>
        <w:jc w:val="both"/>
        <w:rPr>
          <w:rFonts w:ascii="Tahoma" w:hAnsi="Tahoma" w:cs="Tahoma"/>
          <w:bCs/>
          <w:sz w:val="24"/>
          <w:szCs w:val="24"/>
        </w:rPr>
      </w:pPr>
      <w:r w:rsidRPr="00A30AA4">
        <w:rPr>
          <w:rFonts w:ascii="Tahoma" w:hAnsi="Tahoma"/>
          <w:b/>
          <w:sz w:val="24"/>
          <w:shd w:val="clear" w:color="auto" w:fill="D9D9D9"/>
        </w:rPr>
        <w:t>20 standartas</w:t>
      </w:r>
    </w:p>
    <w:p w:rsidR="00DA3A70" w:rsidRPr="00A30AA4" w:rsidP="0028467E">
      <w:pPr>
        <w:spacing w:after="120"/>
        <w:rPr>
          <w:rFonts w:ascii="Tahoma" w:hAnsi="Tahoma" w:cs="Tahoma"/>
          <w:sz w:val="18"/>
          <w:szCs w:val="18"/>
        </w:rPr>
      </w:pPr>
      <w:r w:rsidRPr="00A30AA4">
        <w:rPr>
          <w:rFonts w:ascii="Tahoma" w:hAnsi="Tahoma"/>
          <w:sz w:val="18"/>
        </w:rPr>
        <w:t>Kiekviena sveikatos priežiūros institucija, besirūpinanti pacientais, kuriems diagnozuota arba įtariama užkrečiama tuberkuliozė, turėtų parengti ir įgyvendinti atitinkamą tuberkulioz</w:t>
      </w:r>
      <w:r w:rsidR="005B4C3B">
        <w:rPr>
          <w:rFonts w:ascii="Tahoma" w:hAnsi="Tahoma"/>
          <w:sz w:val="18"/>
        </w:rPr>
        <w:t>ės valdymui skirtą</w:t>
      </w:r>
      <w:r w:rsidRPr="00A30AA4">
        <w:rPr>
          <w:rFonts w:ascii="Tahoma" w:hAnsi="Tahoma"/>
          <w:sz w:val="18"/>
        </w:rPr>
        <w:t xml:space="preserve"> infekcij</w:t>
      </w:r>
      <w:r w:rsidR="005B4C3B">
        <w:rPr>
          <w:rFonts w:ascii="Tahoma" w:hAnsi="Tahoma"/>
          <w:sz w:val="18"/>
        </w:rPr>
        <w:t>ų</w:t>
      </w:r>
      <w:r w:rsidRPr="00A30AA4">
        <w:rPr>
          <w:rFonts w:ascii="Tahoma" w:hAnsi="Tahoma"/>
          <w:sz w:val="18"/>
        </w:rPr>
        <w:t xml:space="preserve"> kontrolės planą. </w:t>
      </w:r>
    </w:p>
    <w:p w:rsidR="0098145B" w:rsidRPr="00A30AA4" w:rsidP="0098145B">
      <w:pPr>
        <w:pStyle w:val="EC-Title-6"/>
        <w:rPr>
          <w:sz w:val="24"/>
          <w:szCs w:val="24"/>
        </w:rPr>
      </w:pPr>
      <w:r w:rsidRPr="00A30AA4">
        <w:rPr>
          <w:sz w:val="24"/>
        </w:rPr>
        <w:t>Tik ES taikomi reikalavimai</w:t>
      </w:r>
    </w:p>
    <w:p w:rsidR="00DA3A70" w:rsidRPr="00A30AA4" w:rsidP="0028467E">
      <w:pPr>
        <w:spacing w:after="120"/>
        <w:rPr>
          <w:rFonts w:ascii="Tahoma" w:hAnsi="Tahoma" w:cs="Tahoma"/>
          <w:spacing w:val="-2"/>
          <w:sz w:val="18"/>
          <w:szCs w:val="18"/>
        </w:rPr>
      </w:pPr>
      <w:r w:rsidRPr="00A30AA4">
        <w:rPr>
          <w:rFonts w:ascii="Tahoma" w:hAnsi="Tahoma"/>
          <w:spacing w:val="-2"/>
          <w:sz w:val="18"/>
        </w:rPr>
        <w:t>Pacientams, kurie nori gydytis namuose, turėtų būti sudaryta galimybė gydytis namuose, naudojantis bendruomenės sveikatos priežiūros paslaugomis ir infekcij</w:t>
      </w:r>
      <w:r w:rsidR="00DD07C9">
        <w:rPr>
          <w:rFonts w:ascii="Tahoma" w:hAnsi="Tahoma"/>
          <w:spacing w:val="-2"/>
          <w:sz w:val="18"/>
        </w:rPr>
        <w:t>ų</w:t>
      </w:r>
      <w:r w:rsidRPr="00A30AA4">
        <w:rPr>
          <w:rFonts w:ascii="Tahoma" w:hAnsi="Tahoma"/>
          <w:spacing w:val="-2"/>
          <w:sz w:val="18"/>
        </w:rPr>
        <w:t xml:space="preserve"> kontrolės priemonėmis [5, 24].</w:t>
      </w:r>
    </w:p>
    <w:p w:rsidR="00DA3A70" w:rsidRPr="00A30AA4" w:rsidP="0028467E">
      <w:pPr>
        <w:spacing w:after="120"/>
        <w:rPr>
          <w:rFonts w:ascii="Tahoma" w:hAnsi="Tahoma" w:cs="Tahoma"/>
          <w:spacing w:val="-2"/>
          <w:sz w:val="18"/>
          <w:szCs w:val="18"/>
        </w:rPr>
      </w:pPr>
      <w:r w:rsidRPr="00A30AA4">
        <w:rPr>
          <w:rFonts w:ascii="Tahoma" w:hAnsi="Tahoma"/>
          <w:spacing w:val="-2"/>
          <w:sz w:val="18"/>
        </w:rPr>
        <w:t xml:space="preserve">Esant būtinybei hospitalizuoti pacientą, gydytojai praktikai turėtų užtikrinti, kad visi naujai į ligoninę paguldyti pacientai, kuriems įtariama užkrečiama tuberkuliozė, </w:t>
      </w:r>
      <w:r w:rsidRPr="00DD07C9">
        <w:rPr>
          <w:rFonts w:ascii="Tahoma" w:hAnsi="Tahoma"/>
          <w:spacing w:val="-2"/>
          <w:sz w:val="18"/>
        </w:rPr>
        <w:t>dėvėtų kvėpavimo takus dengiančias kaukes,</w:t>
      </w:r>
      <w:r w:rsidRPr="00A30AA4">
        <w:rPr>
          <w:rFonts w:ascii="Tahoma" w:hAnsi="Tahoma"/>
          <w:spacing w:val="-2"/>
          <w:sz w:val="18"/>
        </w:rPr>
        <w:t xml:space="preserve"> kol jiems įtariama diagnozė bus patvirtinta</w:t>
      </w:r>
      <w:r w:rsidRPr="00A30AA4">
        <w:rPr>
          <w:rFonts w:ascii="Tahoma" w:hAnsi="Tahoma"/>
          <w:spacing w:val="-2"/>
          <w:sz w:val="18"/>
        </w:rPr>
        <w:t xml:space="preserve"> arba atmesta [2]. </w:t>
      </w:r>
    </w:p>
    <w:p w:rsidR="00DA3A70" w:rsidRPr="00A30AA4" w:rsidP="0028467E">
      <w:pPr>
        <w:spacing w:after="120"/>
        <w:rPr>
          <w:rFonts w:ascii="Tahoma" w:hAnsi="Tahoma" w:cs="Tahoma"/>
          <w:spacing w:val="-2"/>
          <w:sz w:val="18"/>
          <w:szCs w:val="18"/>
        </w:rPr>
      </w:pPr>
      <w:r w:rsidRPr="00A30AA4">
        <w:rPr>
          <w:rFonts w:ascii="Tahoma" w:hAnsi="Tahoma"/>
          <w:spacing w:val="-2"/>
          <w:sz w:val="18"/>
        </w:rPr>
        <w:t>Siekiant išvengti kitų pacientų, taip pat darbuotojų ir (arba) lankytojų užsikrėtimo tuberkuliozės bakterijomis, idealiu atveju visi tuberkulioze sergantys pacientai, kurių tepinėlio tyrimo rezultatai yra teigiami, turėtų būti izoliuoti</w:t>
      </w:r>
      <w:r w:rsidRPr="00A30AA4">
        <w:rPr>
          <w:rFonts w:ascii="Tahoma" w:hAnsi="Tahoma"/>
          <w:spacing w:val="-2"/>
          <w:sz w:val="18"/>
        </w:rPr>
        <w:t xml:space="preserve"> atitinkamose patalpose, kol bus pasiekta bakteriologinė konversija (skreplių mikroskopinio tyrimo rezultatai bus neigiami). Tokie pacientai turėtų būti izoliuoti patalpose, kuriose įrengta neigiamo slėgio ventiliacija. </w:t>
      </w:r>
    </w:p>
    <w:p w:rsidR="00DA3A70" w:rsidRPr="00A30AA4" w:rsidP="0028467E">
      <w:pPr>
        <w:spacing w:after="120"/>
        <w:rPr>
          <w:rFonts w:ascii="Tahoma" w:hAnsi="Tahoma" w:cs="Tahoma"/>
          <w:spacing w:val="-2"/>
          <w:sz w:val="18"/>
          <w:szCs w:val="18"/>
        </w:rPr>
      </w:pPr>
      <w:r w:rsidRPr="00A30AA4">
        <w:rPr>
          <w:rFonts w:ascii="Tahoma" w:hAnsi="Tahoma"/>
          <w:spacing w:val="-2"/>
          <w:sz w:val="18"/>
        </w:rPr>
        <w:t xml:space="preserve">Paskirto asmens </w:t>
      </w:r>
      <w:r w:rsidR="00DD07C9">
        <w:rPr>
          <w:rFonts w:ascii="Tahoma" w:hAnsi="Tahoma"/>
          <w:spacing w:val="-2"/>
          <w:sz w:val="18"/>
        </w:rPr>
        <w:t>rengiamas ir peržiūrimas</w:t>
      </w:r>
      <w:r w:rsidRPr="00A30AA4" w:rsidR="00DD07C9">
        <w:rPr>
          <w:rFonts w:ascii="Tahoma" w:hAnsi="Tahoma"/>
          <w:spacing w:val="-2"/>
          <w:sz w:val="18"/>
        </w:rPr>
        <w:t xml:space="preserve"> </w:t>
      </w:r>
      <w:r w:rsidRPr="00A30AA4">
        <w:rPr>
          <w:rFonts w:ascii="Tahoma" w:hAnsi="Tahoma"/>
          <w:spacing w:val="-2"/>
          <w:sz w:val="18"/>
        </w:rPr>
        <w:t>atitinkamas infekcij</w:t>
      </w:r>
      <w:r w:rsidR="00C633DB">
        <w:rPr>
          <w:rFonts w:ascii="Tahoma" w:hAnsi="Tahoma"/>
          <w:spacing w:val="-2"/>
          <w:sz w:val="18"/>
        </w:rPr>
        <w:t>ų</w:t>
      </w:r>
      <w:r w:rsidRPr="00A30AA4">
        <w:rPr>
          <w:rFonts w:ascii="Tahoma" w:hAnsi="Tahoma"/>
          <w:spacing w:val="-2"/>
          <w:sz w:val="18"/>
        </w:rPr>
        <w:t xml:space="preserve"> kontrolės planas turėtų apimti šiuos keturis elementus: </w:t>
      </w:r>
      <w:r w:rsidR="00C633DB">
        <w:rPr>
          <w:rFonts w:ascii="Tahoma" w:hAnsi="Tahoma"/>
          <w:spacing w:val="-2"/>
          <w:sz w:val="18"/>
        </w:rPr>
        <w:t>valdymo</w:t>
      </w:r>
      <w:r w:rsidRPr="00A30AA4" w:rsidR="00C633DB">
        <w:rPr>
          <w:rFonts w:ascii="Tahoma" w:hAnsi="Tahoma"/>
          <w:spacing w:val="-2"/>
          <w:sz w:val="18"/>
        </w:rPr>
        <w:t xml:space="preserve"> </w:t>
      </w:r>
      <w:r w:rsidRPr="00A30AA4">
        <w:rPr>
          <w:rFonts w:ascii="Tahoma" w:hAnsi="Tahoma"/>
          <w:spacing w:val="-2"/>
          <w:sz w:val="18"/>
        </w:rPr>
        <w:t xml:space="preserve">veiklą, administracines kontrolės priemones, aplinkos kontrolės priemones ir asmens apsaugos </w:t>
      </w:r>
      <w:r w:rsidRPr="00A30AA4">
        <w:rPr>
          <w:rFonts w:ascii="Tahoma" w:hAnsi="Tahoma"/>
          <w:spacing w:val="-2"/>
          <w:sz w:val="18"/>
        </w:rPr>
        <w:t xml:space="preserve">priemones [5, 50]. Visose sveikatos </w:t>
      </w:r>
      <w:r w:rsidRPr="00A30AA4">
        <w:rPr>
          <w:rFonts w:ascii="Tahoma" w:hAnsi="Tahoma"/>
          <w:spacing w:val="-2"/>
          <w:sz w:val="18"/>
        </w:rPr>
        <w:t>priežiūros įstaigose turėtų būti įgyvendintos atitinkamos administracinės tuberkuliozės infekcij</w:t>
      </w:r>
      <w:r w:rsidR="00B85467">
        <w:rPr>
          <w:rFonts w:ascii="Tahoma" w:hAnsi="Tahoma"/>
          <w:spacing w:val="-2"/>
          <w:sz w:val="18"/>
        </w:rPr>
        <w:t>ų</w:t>
      </w:r>
      <w:r w:rsidRPr="00A30AA4">
        <w:rPr>
          <w:rFonts w:ascii="Tahoma" w:hAnsi="Tahoma"/>
          <w:spacing w:val="-2"/>
          <w:sz w:val="18"/>
        </w:rPr>
        <w:t xml:space="preserve"> kontrolės priemonės, taip pat atitinkamos kvėpavimo </w:t>
      </w:r>
      <w:r w:rsidR="00B85467">
        <w:rPr>
          <w:rFonts w:ascii="Tahoma" w:hAnsi="Tahoma"/>
          <w:spacing w:val="-2"/>
          <w:sz w:val="18"/>
        </w:rPr>
        <w:t>takų</w:t>
      </w:r>
      <w:r w:rsidRPr="00A30AA4" w:rsidR="00B85467">
        <w:rPr>
          <w:rFonts w:ascii="Tahoma" w:hAnsi="Tahoma"/>
          <w:spacing w:val="-2"/>
          <w:sz w:val="18"/>
        </w:rPr>
        <w:t xml:space="preserve"> </w:t>
      </w:r>
      <w:r w:rsidRPr="00A30AA4">
        <w:rPr>
          <w:rFonts w:ascii="Tahoma" w:hAnsi="Tahoma"/>
          <w:spacing w:val="-2"/>
          <w:sz w:val="18"/>
        </w:rPr>
        <w:t>apsaugos priemonės (įskaitant respiratorių naudojimą patikrinus respiratorių tinkamumą dar</w:t>
      </w:r>
      <w:r w:rsidRPr="00A30AA4">
        <w:rPr>
          <w:rFonts w:ascii="Tahoma" w:hAnsi="Tahoma"/>
          <w:spacing w:val="-2"/>
          <w:sz w:val="18"/>
        </w:rPr>
        <w:t xml:space="preserve">buotojams ir </w:t>
      </w:r>
      <w:r w:rsidR="00B85467">
        <w:rPr>
          <w:rFonts w:ascii="Tahoma" w:hAnsi="Tahoma"/>
          <w:spacing w:val="-2"/>
          <w:sz w:val="18"/>
        </w:rPr>
        <w:t>medicininių</w:t>
      </w:r>
      <w:r w:rsidRPr="00A30AA4" w:rsidR="00B85467">
        <w:rPr>
          <w:rFonts w:ascii="Tahoma" w:hAnsi="Tahoma"/>
          <w:spacing w:val="-2"/>
          <w:sz w:val="18"/>
        </w:rPr>
        <w:t xml:space="preserve"> </w:t>
      </w:r>
      <w:r w:rsidRPr="00A30AA4">
        <w:rPr>
          <w:rFonts w:ascii="Tahoma" w:hAnsi="Tahoma"/>
          <w:spacing w:val="-2"/>
          <w:sz w:val="18"/>
        </w:rPr>
        <w:t>kaukių dėvėjimą užkrečiamiems pacientams). Į infekcij</w:t>
      </w:r>
      <w:r w:rsidR="00B85467">
        <w:rPr>
          <w:rFonts w:ascii="Tahoma" w:hAnsi="Tahoma"/>
          <w:spacing w:val="-2"/>
          <w:sz w:val="18"/>
        </w:rPr>
        <w:t>ų</w:t>
      </w:r>
      <w:r w:rsidRPr="00A30AA4">
        <w:rPr>
          <w:rFonts w:ascii="Tahoma" w:hAnsi="Tahoma"/>
          <w:spacing w:val="-2"/>
          <w:sz w:val="18"/>
        </w:rPr>
        <w:t xml:space="preserve"> kontrolės planą taip pat reikėtų įtraukti atitinkamus darbuotojų mokymus infekcij</w:t>
      </w:r>
      <w:r w:rsidR="00B85467">
        <w:rPr>
          <w:rFonts w:ascii="Tahoma" w:hAnsi="Tahoma"/>
          <w:spacing w:val="-2"/>
          <w:sz w:val="18"/>
        </w:rPr>
        <w:t>ų</w:t>
      </w:r>
      <w:r w:rsidRPr="00A30AA4">
        <w:rPr>
          <w:rFonts w:ascii="Tahoma" w:hAnsi="Tahoma"/>
          <w:spacing w:val="-2"/>
          <w:sz w:val="18"/>
        </w:rPr>
        <w:t xml:space="preserve"> kontrolės klausimais ir standartizuotą pacientų švietimą kosėjimo etiketo klausimais (remiantis patvirtintomis priemonėmis). Taip pat reikėtų įsteigti infekcij</w:t>
      </w:r>
      <w:r w:rsidR="00B85467">
        <w:rPr>
          <w:rFonts w:ascii="Tahoma" w:hAnsi="Tahoma"/>
          <w:spacing w:val="-2"/>
          <w:sz w:val="18"/>
        </w:rPr>
        <w:t>ų</w:t>
      </w:r>
      <w:r w:rsidRPr="00A30AA4">
        <w:rPr>
          <w:rFonts w:ascii="Tahoma" w:hAnsi="Tahoma"/>
          <w:spacing w:val="-2"/>
          <w:sz w:val="18"/>
        </w:rPr>
        <w:t xml:space="preserve"> kontrolės komitetus, kurių veikla apimtų oru plintančias </w:t>
      </w:r>
      <w:r w:rsidR="00B85467">
        <w:rPr>
          <w:rFonts w:ascii="Tahoma" w:hAnsi="Tahoma"/>
          <w:spacing w:val="-2"/>
          <w:sz w:val="18"/>
        </w:rPr>
        <w:t xml:space="preserve">užkrečiamąsias </w:t>
      </w:r>
      <w:r w:rsidRPr="00A30AA4">
        <w:rPr>
          <w:rFonts w:ascii="Tahoma" w:hAnsi="Tahoma"/>
          <w:spacing w:val="-2"/>
          <w:sz w:val="18"/>
        </w:rPr>
        <w:t xml:space="preserve">ligas ir kurie būtų </w:t>
      </w:r>
      <w:r w:rsidRPr="00A30AA4">
        <w:rPr>
          <w:rFonts w:ascii="Tahoma" w:hAnsi="Tahoma"/>
          <w:spacing w:val="-2"/>
          <w:sz w:val="18"/>
        </w:rPr>
        <w:t>sudaryti iš infekcij</w:t>
      </w:r>
      <w:r w:rsidR="00B85467">
        <w:rPr>
          <w:rFonts w:ascii="Tahoma" w:hAnsi="Tahoma"/>
          <w:spacing w:val="-2"/>
          <w:sz w:val="18"/>
        </w:rPr>
        <w:t>ų</w:t>
      </w:r>
      <w:r w:rsidRPr="00A30AA4">
        <w:rPr>
          <w:rFonts w:ascii="Tahoma" w:hAnsi="Tahoma"/>
          <w:spacing w:val="-2"/>
          <w:sz w:val="18"/>
        </w:rPr>
        <w:t xml:space="preserve"> kontrolės ekspertų [5, 50–52].</w:t>
      </w:r>
    </w:p>
    <w:p w:rsidR="00DA3A70" w:rsidRPr="00A30AA4" w:rsidP="00496312">
      <w:pPr>
        <w:shd w:val="clear" w:color="auto" w:fill="E7E6E6"/>
        <w:autoSpaceDE w:val="0"/>
        <w:autoSpaceDN w:val="0"/>
        <w:adjustRightInd w:val="0"/>
        <w:spacing w:after="0"/>
        <w:jc w:val="both"/>
        <w:rPr>
          <w:rFonts w:ascii="Tahoma" w:hAnsi="Tahoma" w:cs="Tahoma"/>
          <w:bCs/>
          <w:sz w:val="24"/>
          <w:szCs w:val="24"/>
        </w:rPr>
      </w:pPr>
      <w:r w:rsidRPr="00A30AA4">
        <w:rPr>
          <w:rFonts w:ascii="Tahoma" w:hAnsi="Tahoma"/>
          <w:b/>
          <w:sz w:val="24"/>
          <w:shd w:val="clear" w:color="auto" w:fill="D9D9D9"/>
        </w:rPr>
        <w:t>21 standartas</w:t>
      </w:r>
    </w:p>
    <w:p w:rsidR="00DA3A70" w:rsidRPr="00A30AA4" w:rsidP="0028467E">
      <w:pPr>
        <w:spacing w:after="120"/>
        <w:rPr>
          <w:rFonts w:ascii="Tahoma" w:hAnsi="Tahoma" w:cs="Tahoma"/>
          <w:sz w:val="18"/>
          <w:szCs w:val="18"/>
        </w:rPr>
      </w:pPr>
      <w:r w:rsidRPr="00A30AA4">
        <w:rPr>
          <w:rFonts w:ascii="Tahoma" w:hAnsi="Tahoma"/>
          <w:sz w:val="18"/>
        </w:rPr>
        <w:t xml:space="preserve">Visi sveikatos priežiūros paslaugų teikėjai, laikydamiesi taikytinų teisinių reikalavimų ir </w:t>
      </w:r>
      <w:r w:rsidR="009539B9">
        <w:rPr>
          <w:rFonts w:ascii="Tahoma" w:hAnsi="Tahoma"/>
          <w:sz w:val="18"/>
        </w:rPr>
        <w:t xml:space="preserve">vykdomos </w:t>
      </w:r>
      <w:r w:rsidRPr="00A30AA4">
        <w:rPr>
          <w:rFonts w:ascii="Tahoma" w:hAnsi="Tahoma"/>
          <w:sz w:val="18"/>
        </w:rPr>
        <w:t xml:space="preserve">politikos, turi vietos visuomenės sveikatos institucijoms pranešti tiek apie naujus, tiek apie pakartotinai gydomus tuberkulioze užsikrėtusius pacientus ir apie tų pacientų gydymo rezultatus. </w:t>
      </w:r>
    </w:p>
    <w:p w:rsidR="0098145B" w:rsidRPr="00A30AA4" w:rsidP="0098145B">
      <w:pPr>
        <w:pStyle w:val="EC-Title-6"/>
        <w:rPr>
          <w:sz w:val="24"/>
          <w:szCs w:val="24"/>
        </w:rPr>
      </w:pPr>
      <w:r w:rsidRPr="00A30AA4">
        <w:rPr>
          <w:sz w:val="24"/>
        </w:rPr>
        <w:t>Tik ES taikomi reikalavimai</w:t>
      </w:r>
    </w:p>
    <w:p w:rsidR="00DA3A70" w:rsidRPr="00A30AA4" w:rsidP="000D0DB0">
      <w:pPr>
        <w:rPr>
          <w:rFonts w:ascii="Tahoma" w:hAnsi="Tahoma" w:cs="Tahoma"/>
          <w:spacing w:val="-2"/>
          <w:sz w:val="18"/>
          <w:szCs w:val="18"/>
        </w:rPr>
      </w:pPr>
      <w:r w:rsidRPr="00A30AA4">
        <w:rPr>
          <w:rFonts w:ascii="Tahoma" w:hAnsi="Tahoma"/>
          <w:spacing w:val="-2"/>
          <w:sz w:val="18"/>
        </w:rPr>
        <w:t>Gydytojai praktikai turėtų savo kli</w:t>
      </w:r>
      <w:r w:rsidRPr="00A30AA4">
        <w:rPr>
          <w:rFonts w:ascii="Tahoma" w:hAnsi="Tahoma"/>
          <w:spacing w:val="-2"/>
          <w:sz w:val="18"/>
        </w:rPr>
        <w:t>nikinės praktikos įstaigoje reguliariai (pvz., kas ketvirtį) atlikti gydymo rezultatų vertinimus [18, 53]. Apie gydymo rezultatus reikėtų reguliariai pranešti vietos visuomenės sveikatos institucijoms, vadovaujantis taikytinais reikalavimais ir vykdoma pol</w:t>
      </w:r>
      <w:r w:rsidRPr="00A30AA4">
        <w:rPr>
          <w:rFonts w:ascii="Tahoma" w:hAnsi="Tahoma"/>
          <w:spacing w:val="-2"/>
          <w:sz w:val="18"/>
        </w:rPr>
        <w:t>itika, taip pat ši informacija turėtų būti naudojama kaip stebėjimo ir vertinimo priemonė pacientų gydymo kokybei gerinti.</w:t>
      </w:r>
      <w:r w:rsidRPr="00A30AA4">
        <w:rPr>
          <w:rFonts w:ascii="Tahoma" w:hAnsi="Tahoma"/>
          <w:b/>
          <w:spacing w:val="-2"/>
          <w:sz w:val="18"/>
        </w:rPr>
        <w:t xml:space="preserve"> </w:t>
      </w:r>
      <w:r w:rsidRPr="00A30AA4">
        <w:rPr>
          <w:rFonts w:ascii="Tahoma" w:hAnsi="Tahoma"/>
          <w:spacing w:val="-2"/>
          <w:sz w:val="18"/>
        </w:rPr>
        <w:t xml:space="preserve">Visuomenės sveikatos institucijų turima </w:t>
      </w:r>
      <w:r w:rsidRPr="00A30AA4">
        <w:rPr>
          <w:rFonts w:ascii="Tahoma" w:hAnsi="Tahoma"/>
          <w:spacing w:val="-2"/>
          <w:sz w:val="18"/>
        </w:rPr>
        <w:t>informacija apie gydymo rezultatus taip pat turėtų būti reguliariai pateikiama sveikatos prie</w:t>
      </w:r>
      <w:r w:rsidRPr="00A30AA4">
        <w:rPr>
          <w:rFonts w:ascii="Tahoma" w:hAnsi="Tahoma"/>
          <w:spacing w:val="-2"/>
          <w:sz w:val="18"/>
        </w:rPr>
        <w:t>žiūros paslaugų teikėjams, kad būtų galima suderintai įvertinti gydymo rezultatus. Klinikoje, kurioje pradėtas paciento gydymas, turėtų būti sudaryta galimybė susipažinti su informacija apie galutinius paciento gydymo rezultatus, net kai pacientas perkelia</w:t>
      </w:r>
      <w:r w:rsidRPr="00A30AA4">
        <w:rPr>
          <w:rFonts w:ascii="Tahoma" w:hAnsi="Tahoma"/>
          <w:spacing w:val="-2"/>
          <w:sz w:val="18"/>
        </w:rPr>
        <w:t>mas į kitą įstaigą. Sveikatos priežiūros srities darbuotojai, kurie atsakingi už informacijos apie gydymo rezultatus pateikimą visuomenės sveikatos institucijoms ir kas ketvirtį vertina klinikoje gydytų pacientų atvejus, turi būti atitinkamai parengti atli</w:t>
      </w:r>
      <w:r w:rsidRPr="00A30AA4">
        <w:rPr>
          <w:rFonts w:ascii="Tahoma" w:hAnsi="Tahoma"/>
          <w:spacing w:val="-2"/>
          <w:sz w:val="18"/>
        </w:rPr>
        <w:t>kti šias užduotis. Šis principas taip pat taikytinas iš ES išvykstantiems ir į ES atvykstantiems tuberkulioze sergantiems pacientams [54–57].</w:t>
      </w:r>
    </w:p>
    <w:p w:rsidR="00E9311A" w:rsidRPr="00A30AA4" w:rsidP="0028467E">
      <w:pPr>
        <w:rPr>
          <w:rFonts w:ascii="Tahoma" w:eastAsia="Batang" w:hAnsi="Tahoma" w:cs="Tahoma"/>
          <w:color w:val="69AE23"/>
          <w:sz w:val="30"/>
          <w:szCs w:val="30"/>
        </w:rPr>
      </w:pPr>
      <w:r w:rsidRPr="00A30AA4">
        <w:br w:type="page"/>
      </w:r>
    </w:p>
    <w:p w:rsidR="00CC0F38" w:rsidRPr="00A30AA4" w:rsidP="0028467E">
      <w:pPr>
        <w:pStyle w:val="EC-Title-5"/>
        <w:spacing w:before="120"/>
      </w:pPr>
      <w:r w:rsidRPr="00A30AA4">
        <w:t>Informacijos šaltiniai</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w:t>
      </w:r>
      <w:r w:rsidRPr="00A30AA4">
        <w:tab/>
      </w:r>
      <w:r w:rsidRPr="00A30AA4">
        <w:rPr>
          <w:rFonts w:ascii="Tahoma" w:hAnsi="Tahoma"/>
          <w:sz w:val="16"/>
        </w:rPr>
        <w:t>Schoch OD, Rieder P, Tueller C, Altpeter E, Zellweger JP, Rieder HL, et al. Diagnostic</w:t>
      </w:r>
      <w:r w:rsidRPr="00A30AA4">
        <w:rPr>
          <w:rFonts w:ascii="Tahoma" w:hAnsi="Tahoma"/>
          <w:sz w:val="16"/>
        </w:rPr>
        <w:t xml:space="preserve"> yield of sputum, induced sputum, and bronchoscopy after radiologic tuberculosis screening. Am J Respir Crit Care Med. 2007;175(1):80-86.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w:t>
      </w:r>
      <w:r w:rsidRPr="00A30AA4">
        <w:tab/>
      </w:r>
      <w:r w:rsidRPr="00A30AA4">
        <w:rPr>
          <w:rFonts w:ascii="Tahoma" w:hAnsi="Tahoma"/>
          <w:sz w:val="16"/>
        </w:rPr>
        <w:t>TB CARE I. International Standards for Tuberculosis Care. 3rd ed. The Hague: TB CARE; 2014.</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w:t>
      </w:r>
      <w:r w:rsidRPr="00A30AA4">
        <w:tab/>
      </w:r>
      <w:r w:rsidRPr="00A30AA4">
        <w:rPr>
          <w:rFonts w:ascii="Tahoma" w:hAnsi="Tahoma"/>
          <w:sz w:val="16"/>
        </w:rPr>
        <w:t>Lewinsohn DM, Leonar</w:t>
      </w:r>
      <w:r w:rsidRPr="00A30AA4">
        <w:rPr>
          <w:rFonts w:ascii="Tahoma" w:hAnsi="Tahoma"/>
          <w:sz w:val="16"/>
        </w:rPr>
        <w:t>d MK, LoBue PA, Cohn DL, Daley CL, Desmond E, et al. Official American Thoracic Society/Infectious Diseases Society of America/Centers for Disease Control and Prevention Clinical Practice Guidelines: Diagnosis of Tuberculosis in Adults and Children. Clin I</w:t>
      </w:r>
      <w:r w:rsidRPr="00A30AA4">
        <w:rPr>
          <w:rFonts w:ascii="Tahoma" w:hAnsi="Tahoma"/>
          <w:sz w:val="16"/>
        </w:rPr>
        <w:t>nfect Dis. 2017;64(2):e1-e33.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w:t>
      </w:r>
      <w:r w:rsidRPr="00A30AA4">
        <w:tab/>
      </w:r>
      <w:r w:rsidRPr="00A30AA4">
        <w:rPr>
          <w:rFonts w:ascii="Tahoma" w:hAnsi="Tahoma"/>
          <w:sz w:val="16"/>
        </w:rPr>
        <w:t>European Centre for Disease Prevention and Control. Use of interferon-gamma release assays in support of TB diagnosis. Stockholm: ECDC; 2011.</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5.</w:t>
      </w:r>
      <w:r w:rsidRPr="00A30AA4">
        <w:tab/>
      </w:r>
      <w:r w:rsidRPr="00A30AA4">
        <w:rPr>
          <w:rFonts w:ascii="Tahoma" w:hAnsi="Tahoma"/>
          <w:sz w:val="16"/>
        </w:rPr>
        <w:t>World Health Organization. Compendium of WHO guidelines and associated standar</w:t>
      </w:r>
      <w:r w:rsidRPr="00A30AA4">
        <w:rPr>
          <w:rFonts w:ascii="Tahoma" w:hAnsi="Tahoma"/>
          <w:sz w:val="16"/>
        </w:rPr>
        <w:t>ds: ensuring optimum delivery of the cascade of care for patients with tuberculosis. Geneva: World Health Organization; 2017.</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6.</w:t>
      </w:r>
      <w:r w:rsidRPr="00A30AA4">
        <w:tab/>
      </w:r>
      <w:r w:rsidRPr="00A30AA4">
        <w:rPr>
          <w:rFonts w:ascii="Tahoma" w:hAnsi="Tahoma"/>
          <w:sz w:val="16"/>
        </w:rPr>
        <w:t>Drobniewski FA, Hoffner S, Rusch-Gerdes S, Skenders G, Thomsen V. Recommended standards for modern tuberculosis laboratory serv</w:t>
      </w:r>
      <w:r w:rsidRPr="00A30AA4">
        <w:rPr>
          <w:rFonts w:ascii="Tahoma" w:hAnsi="Tahoma"/>
          <w:sz w:val="16"/>
        </w:rPr>
        <w:t>ices in Europe. Eur Respir J. 2006;28(5):903-909.</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7.</w:t>
      </w:r>
      <w:r w:rsidRPr="00A30AA4">
        <w:tab/>
      </w:r>
      <w:r w:rsidRPr="00A30AA4">
        <w:rPr>
          <w:rFonts w:ascii="Tahoma" w:hAnsi="Tahoma"/>
          <w:sz w:val="16"/>
        </w:rPr>
        <w:t>World Health Organization Regional Office for Europe. Algorithm for laboratory diagnosis and treatment-monitoring of pulmonary tuberculosis and drug-resistant tuberculosis using state-of-the-art rapid mo</w:t>
      </w:r>
      <w:r w:rsidRPr="00A30AA4">
        <w:rPr>
          <w:rFonts w:ascii="Tahoma" w:hAnsi="Tahoma"/>
          <w:sz w:val="16"/>
        </w:rPr>
        <w:t>lecular diagnostic technologies. Expert opinion of the European Tuberculosis Laboratory Initiative core group members for the WHO European Region. Copenhagen: WHO Regional Office for Europe; 2017.</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8.</w:t>
      </w:r>
      <w:r w:rsidRPr="00A30AA4">
        <w:tab/>
      </w:r>
      <w:r w:rsidRPr="00A30AA4">
        <w:rPr>
          <w:rFonts w:ascii="Tahoma" w:hAnsi="Tahoma"/>
          <w:sz w:val="16"/>
        </w:rPr>
        <w:t xml:space="preserve">European Centre for Disease Prevention and Control. </w:t>
      </w:r>
      <w:r w:rsidRPr="00A30AA4">
        <w:rPr>
          <w:rFonts w:ascii="Tahoma" w:hAnsi="Tahoma"/>
          <w:sz w:val="16"/>
        </w:rPr>
        <w:t>Handbook on TB laboratory diagnostic methods for the European Union. Stockholm: ECDC; 2016.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9.</w:t>
      </w:r>
      <w:r w:rsidRPr="00A30AA4">
        <w:tab/>
      </w:r>
      <w:r w:rsidRPr="00A30AA4">
        <w:rPr>
          <w:rFonts w:ascii="Tahoma" w:hAnsi="Tahoma"/>
          <w:sz w:val="16"/>
        </w:rPr>
        <w:t>Sotgiu G, Tiberi S, D'Ambrosio L, Centis R, Zumla A, Migliori GB. WHO recommendations on shorter treatment of multidrug-resistant tuberculosis. Lancet. 2016;387(</w:t>
      </w:r>
      <w:r w:rsidRPr="00A30AA4">
        <w:rPr>
          <w:rFonts w:ascii="Tahoma" w:hAnsi="Tahoma"/>
          <w:sz w:val="16"/>
        </w:rPr>
        <w:t>10037):2486-2487.</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10.</w:t>
      </w:r>
      <w:r w:rsidRPr="00A30AA4">
        <w:tab/>
      </w:r>
      <w:r w:rsidRPr="00A30AA4">
        <w:rPr>
          <w:rFonts w:ascii="Tahoma" w:hAnsi="Tahoma"/>
          <w:sz w:val="16"/>
        </w:rPr>
        <w:t>Diel R, Goletti D, Ferrara G, Bothamley G, Cirillo D, Kampmann B, et al. Interferon-gamma release assays for the diagnosis of latent Mycobacterium tuberculosis infection: a systematic review and meta-analysis. Eur Respir J. 2011;37(1)</w:t>
      </w:r>
      <w:r w:rsidRPr="00A30AA4">
        <w:rPr>
          <w:rFonts w:ascii="Tahoma" w:hAnsi="Tahoma"/>
          <w:sz w:val="16"/>
        </w:rPr>
        <w:t>:88-99.</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11.</w:t>
      </w:r>
      <w:r w:rsidRPr="00A30AA4">
        <w:tab/>
      </w:r>
      <w:r w:rsidRPr="00A30AA4">
        <w:rPr>
          <w:rFonts w:ascii="Tahoma" w:hAnsi="Tahoma"/>
          <w:sz w:val="16"/>
        </w:rPr>
        <w:t>Sester M, Sotgiu G, Lange C, Giehl C, Girardi E, Migliori GB, et al. Interferon-gamma release assays for the diagnosis of active tuberculosis: a systematic review and meta-analysis. Eur Respir J. 2011;37(1):100-111.</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12.</w:t>
      </w:r>
      <w:r w:rsidRPr="00A30AA4">
        <w:tab/>
      </w:r>
      <w:r w:rsidRPr="00A30AA4">
        <w:rPr>
          <w:rFonts w:ascii="Tahoma" w:hAnsi="Tahoma"/>
          <w:sz w:val="16"/>
        </w:rPr>
        <w:t>Petruccioli E, Scriba TJ</w:t>
      </w:r>
      <w:r w:rsidRPr="00A30AA4">
        <w:rPr>
          <w:rFonts w:ascii="Tahoma" w:hAnsi="Tahoma"/>
          <w:sz w:val="16"/>
        </w:rPr>
        <w:t>, Petrone L, Hatherill M, Cirillo DM, Joosten SA, et al. Correlates of tuberculosis risk: predictive biomarkers for progression to active tuberculosis. Eur Respir J. 2016;48(6):1751-1763.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13.</w:t>
      </w:r>
      <w:r w:rsidRPr="00A30AA4">
        <w:tab/>
      </w:r>
      <w:r w:rsidRPr="00A30AA4">
        <w:rPr>
          <w:rFonts w:ascii="Tahoma" w:hAnsi="Tahoma"/>
          <w:sz w:val="16"/>
        </w:rPr>
        <w:t>Goletti D, Petruccioli E, Joosten SA, Ottenhoff TH. Tuberculosis</w:t>
      </w:r>
      <w:r w:rsidRPr="00A30AA4">
        <w:rPr>
          <w:rFonts w:ascii="Tahoma" w:hAnsi="Tahoma"/>
          <w:sz w:val="16"/>
        </w:rPr>
        <w:t xml:space="preserve"> Biomarkers: From Diagnosis to Protection. Infectious disease reports. 2016;8(2):6568.</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14.</w:t>
      </w:r>
      <w:r w:rsidRPr="00A30AA4">
        <w:tab/>
      </w:r>
      <w:r w:rsidRPr="00A30AA4">
        <w:rPr>
          <w:rFonts w:ascii="Tahoma" w:hAnsi="Tahoma"/>
          <w:sz w:val="16"/>
        </w:rPr>
        <w:t>Seddon JA, Furin JJ, Gale M, Del Castillo Barrientos H, Hurtado RM, Amanullah F, et al. Caring for children with drug-resistant tuberculosis: practice-based recommen</w:t>
      </w:r>
      <w:r w:rsidRPr="00A30AA4">
        <w:rPr>
          <w:rFonts w:ascii="Tahoma" w:hAnsi="Tahoma"/>
          <w:sz w:val="16"/>
        </w:rPr>
        <w:t>dations. Am J Respir Crit Care Med. 2012;186(10):953-964.</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15.</w:t>
      </w:r>
      <w:r w:rsidRPr="00A30AA4">
        <w:tab/>
      </w:r>
      <w:r w:rsidRPr="00A30AA4">
        <w:rPr>
          <w:rFonts w:ascii="Tahoma" w:hAnsi="Tahoma"/>
          <w:sz w:val="16"/>
        </w:rPr>
        <w:t>World Health Organization. Guidance for national tuberculosis programmes on the management of tuberculosis in children. Second ed. Geneva: World Health Organization; 2014.</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16.</w:t>
      </w:r>
      <w:r w:rsidRPr="00A30AA4">
        <w:tab/>
      </w:r>
      <w:r w:rsidRPr="00A30AA4">
        <w:rPr>
          <w:rFonts w:ascii="Tahoma" w:hAnsi="Tahoma"/>
          <w:sz w:val="16"/>
        </w:rPr>
        <w:t xml:space="preserve">World Health </w:t>
      </w:r>
      <w:r w:rsidRPr="00A30AA4">
        <w:rPr>
          <w:rFonts w:ascii="Tahoma" w:hAnsi="Tahoma"/>
          <w:sz w:val="16"/>
        </w:rPr>
        <w:t>Organization. Report of a WHO consultation on strengthening the active engagement of civil society organizations in the global TB prevention, care and control efforts. Geneva: World Health Organization; 2010. Report No.: WHO/HTM/TB/2010.15.</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17.</w:t>
      </w:r>
      <w:r w:rsidRPr="00A30AA4">
        <w:tab/>
      </w:r>
      <w:r w:rsidRPr="00A30AA4">
        <w:rPr>
          <w:rFonts w:ascii="Tahoma" w:hAnsi="Tahoma"/>
          <w:sz w:val="16"/>
        </w:rPr>
        <w:t>Patients’ C</w:t>
      </w:r>
      <w:r w:rsidRPr="00A30AA4">
        <w:rPr>
          <w:rFonts w:ascii="Tahoma" w:hAnsi="Tahoma"/>
          <w:sz w:val="16"/>
        </w:rPr>
        <w:t>harter for Tuberculosis Care: World Care Council; 2006.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18.</w:t>
      </w:r>
      <w:r w:rsidRPr="00A30AA4">
        <w:tab/>
      </w:r>
      <w:r w:rsidRPr="00A30AA4">
        <w:rPr>
          <w:rFonts w:ascii="Tahoma" w:hAnsi="Tahoma"/>
          <w:sz w:val="16"/>
        </w:rPr>
        <w:t>World Health Organization. Definitions and reporting framework for tuberculosis – 2013 revision. Geneva: Word Health Organization; 2013.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19.</w:t>
      </w:r>
      <w:r w:rsidRPr="00A30AA4">
        <w:tab/>
      </w:r>
      <w:r w:rsidRPr="00A30AA4">
        <w:rPr>
          <w:rFonts w:ascii="Tahoma" w:hAnsi="Tahoma"/>
          <w:sz w:val="16"/>
        </w:rPr>
        <w:t>Nahid P, Dorman SE, Alipanah N, Barry PM, Brozek JL, Ca</w:t>
      </w:r>
      <w:r w:rsidRPr="00A30AA4">
        <w:rPr>
          <w:rFonts w:ascii="Tahoma" w:hAnsi="Tahoma"/>
          <w:sz w:val="16"/>
        </w:rPr>
        <w:t>ttamanchi A, et al. Official American Thoracic Society/Centers for Disease Control and Prevention/Infectious Diseases Society of America Clinical Practice Guidelines: Treatment of Drug-Susceptible Tuberculosis. Clin Infect Dis. 2016;63(7):e147-e195.</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20.</w:t>
      </w:r>
      <w:r w:rsidRPr="00A30AA4">
        <w:tab/>
      </w:r>
      <w:r w:rsidRPr="00A30AA4">
        <w:rPr>
          <w:rFonts w:ascii="Tahoma" w:hAnsi="Tahoma"/>
          <w:sz w:val="16"/>
        </w:rPr>
        <w:t>So</w:t>
      </w:r>
      <w:r w:rsidRPr="00A30AA4">
        <w:rPr>
          <w:rFonts w:ascii="Tahoma" w:hAnsi="Tahoma"/>
          <w:sz w:val="16"/>
        </w:rPr>
        <w:t>tgiu G, Nahid P, Loddenkemper R, Abubakar I, Miravitlles M, Migliori GB. The ERS-endorsed official ATS/CDC/IDSA clinical practice guidelines on treatment of drug-susceptible tuberculosis. Eur Respir J. 2016;48(4):963-971.</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21.</w:t>
      </w:r>
      <w:r w:rsidRPr="00A30AA4">
        <w:tab/>
      </w:r>
      <w:r w:rsidRPr="00A30AA4">
        <w:rPr>
          <w:rFonts w:ascii="Tahoma" w:hAnsi="Tahoma"/>
          <w:sz w:val="16"/>
        </w:rPr>
        <w:t>Falzon D, Jaramillo E, Schunem</w:t>
      </w:r>
      <w:r w:rsidRPr="00A30AA4">
        <w:rPr>
          <w:rFonts w:ascii="Tahoma" w:hAnsi="Tahoma"/>
          <w:sz w:val="16"/>
        </w:rPr>
        <w:t>ann HJ, Arentz M, Bauer M, Bayona J, et al. WHO guidelines for the programmatic management of drug-resistant tuberculosis: 2011 update. Eur Respir J. 2011;38(3):516-528.</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22.</w:t>
      </w:r>
      <w:r w:rsidRPr="00A30AA4">
        <w:tab/>
      </w:r>
      <w:r w:rsidRPr="00A30AA4">
        <w:rPr>
          <w:rFonts w:ascii="Tahoma" w:hAnsi="Tahoma"/>
          <w:sz w:val="16"/>
        </w:rPr>
        <w:t>Mitnick CD, White RA, Lu C, Rodriguez CA, Bayona J, Becerra MC, et al. on behalf o</w:t>
      </w:r>
      <w:r w:rsidRPr="00A30AA4">
        <w:rPr>
          <w:rFonts w:ascii="Tahoma" w:hAnsi="Tahoma"/>
          <w:sz w:val="16"/>
        </w:rPr>
        <w:t>f the Collaborative Group for Analysis of Bacteriology Data in MDRTBT. Multidrug-resistant tuberculosis treatment failure detection depends on monitoring interval and microbiological method. Eur Respir J. 2016;48(4):1160-1170.</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23.</w:t>
      </w:r>
      <w:r w:rsidRPr="00A30AA4">
        <w:tab/>
      </w:r>
      <w:r w:rsidRPr="00A30AA4">
        <w:rPr>
          <w:rFonts w:ascii="Tahoma" w:hAnsi="Tahoma"/>
          <w:sz w:val="16"/>
        </w:rPr>
        <w:t>World Health Organization</w:t>
      </w:r>
      <w:r w:rsidRPr="00A30AA4">
        <w:rPr>
          <w:rFonts w:ascii="Tahoma" w:hAnsi="Tahoma"/>
          <w:sz w:val="16"/>
        </w:rPr>
        <w:t>. WHO treatment guidelines for drug-resistant tuberculosis: 2016 update. Geneva: World Health Organization; 2016.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24.</w:t>
      </w:r>
      <w:r w:rsidRPr="00A30AA4">
        <w:tab/>
      </w:r>
      <w:r w:rsidRPr="00A30AA4">
        <w:rPr>
          <w:rFonts w:ascii="Tahoma" w:hAnsi="Tahoma"/>
          <w:sz w:val="16"/>
        </w:rPr>
        <w:t>World Health Organization. Guidelines for treatment of drug-susceptible tuberculosis and patient care, 2017 update. Geneva: World Health O</w:t>
      </w:r>
      <w:r w:rsidRPr="00A30AA4">
        <w:rPr>
          <w:rFonts w:ascii="Tahoma" w:hAnsi="Tahoma"/>
          <w:sz w:val="16"/>
        </w:rPr>
        <w:t>rganization; 2017.</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25.</w:t>
      </w:r>
      <w:r w:rsidRPr="00A30AA4">
        <w:tab/>
      </w:r>
      <w:r w:rsidRPr="00A30AA4">
        <w:rPr>
          <w:rFonts w:ascii="Tahoma" w:hAnsi="Tahoma"/>
          <w:sz w:val="16"/>
        </w:rPr>
        <w:t>Falzon D, Schunemann HJ, Harausz E, Gonzalez-Angulo L, Lienhardt C, Jaramillo E, et al. World Health Organization treatment guidelines for drug-resistant tuberculosis, 2016 update. Eur Respir J. 2017;49(3).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26.</w:t>
      </w:r>
      <w:r w:rsidRPr="00A30AA4">
        <w:tab/>
      </w:r>
      <w:r w:rsidRPr="00A30AA4">
        <w:rPr>
          <w:rFonts w:ascii="Tahoma" w:hAnsi="Tahoma"/>
          <w:sz w:val="16"/>
        </w:rPr>
        <w:t>van der Werf MJ, Kodmo</w:t>
      </w:r>
      <w:r w:rsidRPr="00A30AA4">
        <w:rPr>
          <w:rFonts w:ascii="Tahoma" w:hAnsi="Tahoma"/>
          <w:sz w:val="16"/>
        </w:rPr>
        <w:t>n C, Dara M, Catchpole M. Shorter regimens for multidrug-resistant tuberculosis should also be applicable in Europe. Eur Respir J 2017;49(6).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27.</w:t>
      </w:r>
      <w:r w:rsidRPr="00A30AA4">
        <w:tab/>
      </w:r>
      <w:r w:rsidRPr="00A30AA4">
        <w:rPr>
          <w:rFonts w:ascii="Tahoma" w:hAnsi="Tahoma"/>
          <w:sz w:val="16"/>
        </w:rPr>
        <w:t>Caminero JA, Piubello A, Scardigli A, Migliori GB. Proposal for a standardised treatment regimen to manage pre</w:t>
      </w:r>
      <w:r w:rsidRPr="00A30AA4">
        <w:rPr>
          <w:rFonts w:ascii="Tahoma" w:hAnsi="Tahoma"/>
          <w:sz w:val="16"/>
        </w:rPr>
        <w:t>- and extensively drug-resistant tuberculosis cases. Eur Respir J. 2017;50(1).</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28.</w:t>
      </w:r>
      <w:r w:rsidRPr="00A30AA4">
        <w:tab/>
      </w:r>
      <w:r w:rsidRPr="00A30AA4">
        <w:rPr>
          <w:rFonts w:ascii="Tahoma" w:hAnsi="Tahoma"/>
          <w:sz w:val="16"/>
        </w:rPr>
        <w:t>Esposito S, D'Ambrosio L, Tadolini M, Schaaf HS, Caminero Luna J, Marais B, et al. ERS/WHO Tuberculosis Consilium assistance with extensively drug-resistant tuberculosis man</w:t>
      </w:r>
      <w:r w:rsidRPr="00A30AA4">
        <w:rPr>
          <w:rFonts w:ascii="Tahoma" w:hAnsi="Tahoma"/>
          <w:sz w:val="16"/>
        </w:rPr>
        <w:t>agement in a child: case study of compassionate delamanid use. Eur Respir J. 2014;44(3):811-815.</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29.</w:t>
      </w:r>
      <w:r w:rsidRPr="00A30AA4">
        <w:tab/>
      </w:r>
      <w:r w:rsidRPr="00A30AA4">
        <w:rPr>
          <w:rFonts w:ascii="Tahoma" w:hAnsi="Tahoma"/>
          <w:sz w:val="16"/>
        </w:rPr>
        <w:t>Borisov SE, Dheda K, Enwerem M, Romero Leyet R, D'Ambrosio L, Centis R, et al. Effectiveness and safety of bedaquiline-containing regimens in the treatment</w:t>
      </w:r>
      <w:r w:rsidRPr="00A30AA4">
        <w:rPr>
          <w:rFonts w:ascii="Tahoma" w:hAnsi="Tahoma"/>
          <w:sz w:val="16"/>
        </w:rPr>
        <w:t xml:space="preserve"> of MDR- and XDR-TB: a multicentre study. Eur Respir J. 2017;49(5).</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30.</w:t>
      </w:r>
      <w:r w:rsidRPr="00A30AA4">
        <w:tab/>
      </w:r>
      <w:r w:rsidRPr="00A30AA4">
        <w:rPr>
          <w:rFonts w:ascii="Tahoma" w:hAnsi="Tahoma"/>
          <w:sz w:val="16"/>
        </w:rPr>
        <w:t>Blasi F, Dara M, van der Werf MJ, Migliori GB. Supporting TB clinicians managing difficult cases: the ERS/WHO Consilium. Eur Respir J. 2013;41(3):491-494.</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31.</w:t>
      </w:r>
      <w:r w:rsidRPr="00A30AA4">
        <w:tab/>
      </w:r>
      <w:r w:rsidRPr="00A30AA4">
        <w:rPr>
          <w:rFonts w:ascii="Tahoma" w:hAnsi="Tahoma"/>
          <w:sz w:val="16"/>
        </w:rPr>
        <w:t xml:space="preserve">Tadolini M, Garcia-Prats </w:t>
      </w:r>
      <w:r w:rsidRPr="00A30AA4">
        <w:rPr>
          <w:rFonts w:ascii="Tahoma" w:hAnsi="Tahoma"/>
          <w:sz w:val="16"/>
        </w:rPr>
        <w:t>AJ, D'Ambrosio L, Hewison C, Centis R, Schaaf HS, et al. Compassionate use of new drugs in children and adolescents with multidrug-resistant and extensively drug-resistant tuberculosis: early experiences and challenges. Eur Respir J. 2016;48(3):938-943.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32</w:t>
      </w:r>
      <w:r w:rsidRPr="00A30AA4">
        <w:rPr>
          <w:rFonts w:ascii="Tahoma" w:hAnsi="Tahoma"/>
          <w:sz w:val="16"/>
        </w:rPr>
        <w:t>.</w:t>
      </w:r>
      <w:r w:rsidRPr="00A30AA4">
        <w:tab/>
      </w:r>
      <w:r w:rsidRPr="00A30AA4">
        <w:rPr>
          <w:rFonts w:ascii="Tahoma" w:hAnsi="Tahoma"/>
          <w:sz w:val="16"/>
        </w:rPr>
        <w:t>Lange C, Abubakar I, Alffenaar JW, Bothamley G, Caminero JA, Carvalho AC, et al. Management of patients with multidrug-resistant/extensively drug-resistant tuberculosis in Europe: a TBNET consensus statement. Eur Respir J. 2014;44(1):23-63.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33.</w:t>
      </w:r>
      <w:r w:rsidRPr="00A30AA4">
        <w:tab/>
      </w:r>
      <w:r w:rsidRPr="00A30AA4">
        <w:rPr>
          <w:rFonts w:ascii="Tahoma" w:hAnsi="Tahoma"/>
          <w:sz w:val="16"/>
        </w:rPr>
        <w:t xml:space="preserve">Caminero </w:t>
      </w:r>
      <w:r w:rsidRPr="00A30AA4">
        <w:rPr>
          <w:rFonts w:ascii="Tahoma" w:hAnsi="Tahoma"/>
          <w:sz w:val="16"/>
        </w:rPr>
        <w:t>JA. Management of multidrug-resistant tuberculosis and patients in retreatment. Eur Respir J. 2005;25(5):928-936.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34.</w:t>
      </w:r>
      <w:r w:rsidRPr="00A30AA4">
        <w:tab/>
      </w:r>
      <w:r w:rsidRPr="00A30AA4">
        <w:rPr>
          <w:rFonts w:ascii="Tahoma" w:hAnsi="Tahoma"/>
          <w:sz w:val="16"/>
        </w:rPr>
        <w:t>World Health Organization. WHO policy on collaborative TB/HIV activities: guidelines for national programmes and other stakeholders. Genev</w:t>
      </w:r>
      <w:r w:rsidRPr="00A30AA4">
        <w:rPr>
          <w:rFonts w:ascii="Tahoma" w:hAnsi="Tahoma"/>
          <w:sz w:val="16"/>
        </w:rPr>
        <w:t>a: World Health Organization; 2012.</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35.</w:t>
      </w:r>
      <w:r w:rsidRPr="00A30AA4">
        <w:tab/>
      </w:r>
      <w:r w:rsidRPr="00A30AA4">
        <w:rPr>
          <w:rFonts w:ascii="Tahoma" w:hAnsi="Tahoma"/>
          <w:sz w:val="16"/>
        </w:rPr>
        <w:t>European Centre for Disease Prevention and Control. Management of contacts of MDRTB and XDR TB patients. Stockholm: ECDC; 2012.</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36.</w:t>
      </w:r>
      <w:r w:rsidRPr="00A30AA4">
        <w:tab/>
      </w:r>
      <w:r w:rsidRPr="00A30AA4">
        <w:rPr>
          <w:rFonts w:ascii="Tahoma" w:hAnsi="Tahoma"/>
          <w:sz w:val="16"/>
        </w:rPr>
        <w:t>World Health Organization. Guidelines on the management of latent tuberculosis infec</w:t>
      </w:r>
      <w:r w:rsidRPr="00A30AA4">
        <w:rPr>
          <w:rFonts w:ascii="Tahoma" w:hAnsi="Tahoma"/>
          <w:sz w:val="16"/>
        </w:rPr>
        <w:t>tion. 2015.</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37.</w:t>
      </w:r>
      <w:r w:rsidRPr="00A30AA4">
        <w:tab/>
      </w:r>
      <w:r w:rsidRPr="00A30AA4">
        <w:rPr>
          <w:rFonts w:ascii="Tahoma" w:hAnsi="Tahoma"/>
          <w:sz w:val="16"/>
        </w:rPr>
        <w:t>Zenner D, Beer N, Harris RJ, Lipman MC, Stagg HR, van der Werf MJ. Treatment of Latent Tuberculosis Infection: An Updated Network Meta-analysis. Ann Intern Med. 2017;167(4):248-255.</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38.</w:t>
      </w:r>
      <w:r w:rsidRPr="00A30AA4">
        <w:tab/>
      </w:r>
      <w:r w:rsidRPr="00A30AA4">
        <w:rPr>
          <w:rFonts w:ascii="Tahoma" w:hAnsi="Tahoma"/>
          <w:sz w:val="16"/>
        </w:rPr>
        <w:t xml:space="preserve">Getahun H, Matteelli A, Abubakar I, Aziz MA, Baddeley </w:t>
      </w:r>
      <w:r w:rsidRPr="00A30AA4">
        <w:rPr>
          <w:rFonts w:ascii="Tahoma" w:hAnsi="Tahoma"/>
          <w:sz w:val="16"/>
        </w:rPr>
        <w:t>A, Barreira D, et al. Management of latent Mycobacterium tuberculosis infection: WHO guidelines for low tuberculosis burden countries. Eur Respir J. 2015;46(6):1563-1576.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39.</w:t>
      </w:r>
      <w:r w:rsidRPr="00A30AA4">
        <w:tab/>
      </w:r>
      <w:r w:rsidRPr="00A30AA4">
        <w:rPr>
          <w:rFonts w:ascii="Tahoma" w:hAnsi="Tahoma"/>
          <w:sz w:val="16"/>
        </w:rPr>
        <w:t>Creswell J, Raviglione M, Ottmani S, Migliori GB, Uplekar M, Blanc L, et al. Tube</w:t>
      </w:r>
      <w:r w:rsidRPr="00A30AA4">
        <w:rPr>
          <w:rFonts w:ascii="Tahoma" w:hAnsi="Tahoma"/>
          <w:sz w:val="16"/>
        </w:rPr>
        <w:t>rculosis and noncommunicable diseases: neglected links and missed opportunities. Eur Respir J. 2011;37(5):1269-1282.</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40.</w:t>
      </w:r>
      <w:r w:rsidRPr="00A30AA4">
        <w:tab/>
      </w:r>
      <w:r w:rsidRPr="00A30AA4">
        <w:rPr>
          <w:rFonts w:ascii="Tahoma" w:hAnsi="Tahoma"/>
          <w:sz w:val="16"/>
        </w:rPr>
        <w:t>Erkens CG, Kamphorst M, Abubakar I, Bothamley GH, Chemtob D, Haas W, et al. Tuberculosis contact investigation in low prevalence countr</w:t>
      </w:r>
      <w:r w:rsidRPr="00A30AA4">
        <w:rPr>
          <w:rFonts w:ascii="Tahoma" w:hAnsi="Tahoma"/>
          <w:sz w:val="16"/>
        </w:rPr>
        <w:t>ies: a European consensus. Eur Respir J. 2010;36(4):925-949.</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41.</w:t>
      </w:r>
      <w:r w:rsidRPr="00A30AA4">
        <w:tab/>
      </w:r>
      <w:r w:rsidRPr="00A30AA4">
        <w:rPr>
          <w:rFonts w:ascii="Tahoma" w:hAnsi="Tahoma"/>
          <w:sz w:val="16"/>
        </w:rPr>
        <w:t>Luzzati R, Migliori G, Zignol M, Cirillo D, Maschi M, Tominz R, et al. Children under 5 years are at risk for tuberculosis after occasional contact with highly contagious patients: an out-pat</w:t>
      </w:r>
      <w:r w:rsidRPr="00A30AA4">
        <w:rPr>
          <w:rFonts w:ascii="Tahoma" w:hAnsi="Tahoma"/>
          <w:sz w:val="16"/>
        </w:rPr>
        <w:t>ient outbreak from a smear positive health care worker. Eur Respir J. 2017;In press.</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42.</w:t>
      </w:r>
      <w:r w:rsidRPr="00A30AA4">
        <w:tab/>
      </w:r>
      <w:r w:rsidRPr="00A30AA4">
        <w:rPr>
          <w:rFonts w:ascii="Tahoma" w:hAnsi="Tahoma"/>
          <w:sz w:val="16"/>
        </w:rPr>
        <w:t>European Centre for Disease Prevention and Control. Guidance on tuberculosis control in vulnerable and hard-to-reach populations. Stockholm: ECDC; 2016.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43.</w:t>
      </w:r>
      <w:r w:rsidRPr="00A30AA4">
        <w:tab/>
      </w:r>
      <w:r w:rsidRPr="00A30AA4">
        <w:rPr>
          <w:rFonts w:ascii="Tahoma" w:hAnsi="Tahoma"/>
          <w:sz w:val="16"/>
        </w:rPr>
        <w:t xml:space="preserve">National </w:t>
      </w:r>
      <w:r w:rsidRPr="00A30AA4">
        <w:rPr>
          <w:rFonts w:ascii="Tahoma" w:hAnsi="Tahoma"/>
          <w:sz w:val="16"/>
        </w:rPr>
        <w:t>Instititute for Health and Care Excellence. Tuberculosis (NG33). London: NICE; 2016.</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44.</w:t>
      </w:r>
      <w:r w:rsidRPr="00A30AA4">
        <w:tab/>
      </w:r>
      <w:r w:rsidRPr="00A30AA4">
        <w:rPr>
          <w:rFonts w:ascii="Tahoma" w:hAnsi="Tahoma"/>
          <w:sz w:val="16"/>
        </w:rPr>
        <w:t>Dara M, de Colombani P, Petrova-Benedict R, Centis R, Zellweger JP, Sandgren A, et al. Wolfheze Transborder Migration Task F. Minimum package for cross-border TB contr</w:t>
      </w:r>
      <w:r w:rsidRPr="00A30AA4">
        <w:rPr>
          <w:rFonts w:ascii="Tahoma" w:hAnsi="Tahoma"/>
          <w:sz w:val="16"/>
        </w:rPr>
        <w:t>ol and care in the WHO European region: a Wolfheze consensus statement. Eur Respir J. 2012;40(5):1081-1090.</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45.</w:t>
      </w:r>
      <w:r w:rsidRPr="00A30AA4">
        <w:tab/>
      </w:r>
      <w:r w:rsidRPr="00A30AA4">
        <w:rPr>
          <w:rFonts w:ascii="Tahoma" w:hAnsi="Tahoma"/>
          <w:sz w:val="16"/>
        </w:rPr>
        <w:t>Leung CC, Rieder HL, Lange C, Yew WW. Treatment of latent infection with Mycobacterium tuberculosis: update 2010. Eur Respir J. 2011;37(3):690-7</w:t>
      </w:r>
      <w:r w:rsidRPr="00A30AA4">
        <w:rPr>
          <w:rFonts w:ascii="Tahoma" w:hAnsi="Tahoma"/>
          <w:sz w:val="16"/>
        </w:rPr>
        <w:t>11.</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46.</w:t>
      </w:r>
      <w:r w:rsidRPr="00A30AA4">
        <w:tab/>
      </w:r>
      <w:r w:rsidRPr="00A30AA4">
        <w:rPr>
          <w:rFonts w:ascii="Tahoma" w:hAnsi="Tahoma"/>
          <w:sz w:val="16"/>
        </w:rPr>
        <w:t>Woldehanna S, Volmink J. Treatment of latent tuberculosis infection in HIV infected persons. The Cochrane database of systematic reviews. 2004(1):Cd000171.</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47.</w:t>
      </w:r>
      <w:r w:rsidRPr="00A30AA4">
        <w:tab/>
      </w:r>
      <w:r w:rsidRPr="00A30AA4">
        <w:rPr>
          <w:rFonts w:ascii="Tahoma" w:hAnsi="Tahoma"/>
          <w:sz w:val="16"/>
        </w:rPr>
        <w:t>European Centre for Disease Prevention and Control. Investigation and control of tubercu</w:t>
      </w:r>
      <w:r w:rsidRPr="00A30AA4">
        <w:rPr>
          <w:rFonts w:ascii="Tahoma" w:hAnsi="Tahoma"/>
          <w:sz w:val="16"/>
        </w:rPr>
        <w:t>losis incidents affecting children in congregate settings. Stockholm: ECDC; 2013.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48.</w:t>
      </w:r>
      <w:r w:rsidRPr="00A30AA4">
        <w:tab/>
      </w:r>
      <w:r w:rsidRPr="00A30AA4">
        <w:rPr>
          <w:rFonts w:ascii="Tahoma" w:hAnsi="Tahoma"/>
          <w:sz w:val="16"/>
        </w:rPr>
        <w:t>Mack U, Migliori GB, Sester M, Rieder HL, Ehlers S, Goletti D, et al. Tbnet. LTBI: latent tuberculosis infection or lasting immune responses to M. tuberculosis? A TBNET c</w:t>
      </w:r>
      <w:r w:rsidRPr="00A30AA4">
        <w:rPr>
          <w:rFonts w:ascii="Tahoma" w:hAnsi="Tahoma"/>
          <w:sz w:val="16"/>
        </w:rPr>
        <w:t>onsensus statement. Eur Respir J. 2009;33(5):956-973.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49.</w:t>
      </w:r>
      <w:r w:rsidRPr="00A30AA4">
        <w:tab/>
      </w:r>
      <w:r w:rsidRPr="00A30AA4">
        <w:rPr>
          <w:rFonts w:ascii="Tahoma" w:hAnsi="Tahoma"/>
          <w:sz w:val="16"/>
        </w:rPr>
        <w:t>Lange C, Rieder HL. Intention to test is intention to treat. Am J Respir Crit Care Med. 2011;183(1):3-4.</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50.</w:t>
      </w:r>
      <w:r w:rsidRPr="00A30AA4">
        <w:tab/>
      </w:r>
      <w:r w:rsidRPr="00A30AA4">
        <w:rPr>
          <w:rFonts w:ascii="Tahoma" w:hAnsi="Tahoma"/>
          <w:sz w:val="16"/>
        </w:rPr>
        <w:t>World Health Organization. WHO policy on TB infection control in health - care facilities</w:t>
      </w:r>
      <w:r w:rsidRPr="00A30AA4">
        <w:rPr>
          <w:rFonts w:ascii="Tahoma" w:hAnsi="Tahoma"/>
          <w:sz w:val="16"/>
        </w:rPr>
        <w:t>, congregate settings and households. Geneva: World Health Organization; 2009.</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51.</w:t>
      </w:r>
      <w:r w:rsidRPr="00A30AA4">
        <w:tab/>
      </w:r>
      <w:r w:rsidRPr="00A30AA4">
        <w:rPr>
          <w:rFonts w:ascii="Tahoma" w:hAnsi="Tahoma"/>
          <w:sz w:val="16"/>
        </w:rPr>
        <w:t>Sotgiu G, D'Ambrosio L, Centis R, Bothamley G, Cirillo DM, De Lorenzo S, et al. TB and M/XDR-TB infection control in European TB reference centres: the Achilles' heel? Eur R</w:t>
      </w:r>
      <w:r w:rsidRPr="00A30AA4">
        <w:rPr>
          <w:rFonts w:ascii="Tahoma" w:hAnsi="Tahoma"/>
          <w:sz w:val="16"/>
        </w:rPr>
        <w:t>espir J. 2011;38(5):1221-1223.</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52.</w:t>
      </w:r>
      <w:r w:rsidRPr="00A30AA4">
        <w:tab/>
      </w:r>
      <w:r w:rsidRPr="00A30AA4">
        <w:rPr>
          <w:rFonts w:ascii="Tahoma" w:hAnsi="Tahoma"/>
          <w:sz w:val="16"/>
        </w:rPr>
        <w:t>Matteelli A, Centis R, D'Ambrosio L, Sotgiu G, Tadolini M, Pontali E, et al. WHO strategies for the programmatic management of drug-resistant tuberculosis. Expert Rev Respir Med. 2016;10(9):991-1002.</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53.</w:t>
      </w:r>
      <w:r w:rsidRPr="00A30AA4">
        <w:tab/>
      </w:r>
      <w:r w:rsidRPr="00A30AA4">
        <w:rPr>
          <w:rFonts w:ascii="Tahoma" w:hAnsi="Tahoma"/>
          <w:sz w:val="16"/>
        </w:rPr>
        <w:t xml:space="preserve">Laserson KF, </w:t>
      </w:r>
      <w:r w:rsidRPr="00A30AA4">
        <w:rPr>
          <w:rFonts w:ascii="Tahoma" w:hAnsi="Tahoma"/>
          <w:sz w:val="16"/>
        </w:rPr>
        <w:t>Thorpe LE, Leimane V, Weyer K, Mitnick CD, Riekstina V, et al. Speaking the same language: treatment outcome definitions for multidrug-resistant tuberculosis. Int J Tuberc Lung Dis. 2005;9(6):640-645.</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54.</w:t>
      </w:r>
      <w:r w:rsidRPr="00A30AA4">
        <w:tab/>
      </w:r>
      <w:r w:rsidRPr="00A30AA4">
        <w:rPr>
          <w:rFonts w:ascii="Tahoma" w:hAnsi="Tahoma"/>
          <w:sz w:val="16"/>
        </w:rPr>
        <w:t>European Centre for Disease Prevention and Control,</w:t>
      </w:r>
      <w:r w:rsidRPr="00A30AA4">
        <w:rPr>
          <w:rFonts w:ascii="Tahoma" w:hAnsi="Tahoma"/>
          <w:sz w:val="16"/>
        </w:rPr>
        <w:t xml:space="preserve"> World Health Organization. Regional Office for Europe. Tuberculosis surveillance and monitoring in Europe: 2017. Stockholm: ECDC; 2017. Available from: http://dx.doi.org/10.2900/2767.</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55.</w:t>
      </w:r>
      <w:r w:rsidRPr="00A30AA4">
        <w:tab/>
      </w:r>
      <w:r w:rsidRPr="00A30AA4">
        <w:rPr>
          <w:rFonts w:ascii="Tahoma" w:hAnsi="Tahoma"/>
          <w:sz w:val="16"/>
        </w:rPr>
        <w:t>Mor Z, Migliori GB, Althomsons SP, Loddenkemper R, Trnka L, Iademar</w:t>
      </w:r>
      <w:r w:rsidRPr="00A30AA4">
        <w:rPr>
          <w:rFonts w:ascii="Tahoma" w:hAnsi="Tahoma"/>
          <w:sz w:val="16"/>
        </w:rPr>
        <w:t>co MF. Comparison of tuberculosis surveillance systems in low-incidence industrialised countries. Eur Respir J. 2008;32(6):1616-1624.</w:t>
      </w:r>
    </w:p>
    <w:p w:rsidR="00DA3A70" w:rsidRPr="00A30AA4" w:rsidP="0028467E">
      <w:pPr>
        <w:pStyle w:val="EndNoteBibliography"/>
        <w:spacing w:after="0"/>
        <w:ind w:left="426" w:hanging="426"/>
        <w:jc w:val="left"/>
        <w:rPr>
          <w:rFonts w:ascii="Tahoma" w:hAnsi="Tahoma" w:cs="Tahoma"/>
          <w:sz w:val="16"/>
          <w:szCs w:val="16"/>
        </w:rPr>
      </w:pPr>
      <w:r w:rsidRPr="00A30AA4">
        <w:rPr>
          <w:rFonts w:ascii="Tahoma" w:hAnsi="Tahoma"/>
          <w:sz w:val="16"/>
        </w:rPr>
        <w:t>56.</w:t>
      </w:r>
      <w:r w:rsidRPr="00A30AA4">
        <w:tab/>
      </w:r>
      <w:r w:rsidRPr="00A30AA4">
        <w:rPr>
          <w:rFonts w:ascii="Tahoma" w:hAnsi="Tahoma"/>
          <w:sz w:val="16"/>
        </w:rPr>
        <w:t>Uplekar M, Atre S, Wells WA, Weil D, Lopez R, Migliori G, et al. Mandatory tuberculosis case notification in high tube</w:t>
      </w:r>
      <w:r w:rsidRPr="00A30AA4">
        <w:rPr>
          <w:rFonts w:ascii="Tahoma" w:hAnsi="Tahoma"/>
          <w:sz w:val="16"/>
        </w:rPr>
        <w:t>rculosis-incidence countries: policy and practices. Eur Respir J. 2016(48):1571-1581.</w:t>
      </w:r>
    </w:p>
    <w:p w:rsidR="008B2FFB" w:rsidRPr="00A30AA4" w:rsidP="0028467E">
      <w:pPr>
        <w:pStyle w:val="EndNoteBibliography"/>
        <w:ind w:left="426" w:hanging="426"/>
        <w:jc w:val="left"/>
      </w:pPr>
      <w:r w:rsidRPr="00A30AA4">
        <w:rPr>
          <w:rFonts w:ascii="Tahoma" w:hAnsi="Tahoma"/>
          <w:sz w:val="16"/>
        </w:rPr>
        <w:t>57.</w:t>
      </w:r>
      <w:r w:rsidRPr="00A30AA4">
        <w:tab/>
      </w:r>
      <w:r w:rsidRPr="00A30AA4">
        <w:rPr>
          <w:rFonts w:ascii="Tahoma" w:hAnsi="Tahoma"/>
          <w:sz w:val="16"/>
        </w:rPr>
        <w:t>Heldal E, Kuyvenhoven JV, Wares F, Migliori GB, Ditiu L, Fernandez de la Hoz K, et al. Diagnosis and treatment of tuberculosis in undocumented migrants in low- or int</w:t>
      </w:r>
      <w:r w:rsidRPr="00A30AA4">
        <w:rPr>
          <w:rFonts w:ascii="Tahoma" w:hAnsi="Tahoma"/>
          <w:sz w:val="16"/>
        </w:rPr>
        <w:t>ermediate-incidence countries. 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94" w:rsidRPr="00847A9F" w:rsidP="00847A9F">
    <w:pPr>
      <w:pStyle w:val="Footer"/>
      <w:spacing w:after="0" w:line="240" w:lineRule="auto"/>
      <w:jc w:val="center"/>
      <w:rPr>
        <w:rFonts w:ascii="Arial" w:hAnsi="Arial" w:cs="Arial"/>
        <w:sz w:val="20"/>
        <w:szCs w:val="20"/>
      </w:rPr>
    </w:pPr>
  </w:p>
  <w:p w:rsidR="00974C94" w:rsidRPr="00847A9F"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Pr>
        <w:rFonts w:ascii="Arial" w:hAnsi="Arial" w:cs="Arial"/>
        <w:noProof/>
        <w:sz w:val="20"/>
        <w:szCs w:val="20"/>
      </w:rPr>
      <w:t>1</w:t>
    </w:r>
    <w:r w:rsidRPr="00847A9F">
      <w:rPr>
        <w:rFonts w:ascii="Arial" w:hAnsi="Arial" w:cs="Arial"/>
        <w:sz w:val="20"/>
        <w:szCs w:val="20"/>
      </w:rP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0F4B"/>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2F0A"/>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5460"/>
    <w:rsid w:val="00136802"/>
    <w:rsid w:val="00136E20"/>
    <w:rsid w:val="00136ED6"/>
    <w:rsid w:val="0014061E"/>
    <w:rsid w:val="0014258F"/>
    <w:rsid w:val="00143D62"/>
    <w:rsid w:val="001449C6"/>
    <w:rsid w:val="00146FC2"/>
    <w:rsid w:val="0015365C"/>
    <w:rsid w:val="0015455B"/>
    <w:rsid w:val="00155B28"/>
    <w:rsid w:val="001604AE"/>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1D60"/>
    <w:rsid w:val="0033246A"/>
    <w:rsid w:val="00332575"/>
    <w:rsid w:val="0033381B"/>
    <w:rsid w:val="00334B37"/>
    <w:rsid w:val="00340B09"/>
    <w:rsid w:val="003450AE"/>
    <w:rsid w:val="00352241"/>
    <w:rsid w:val="00352431"/>
    <w:rsid w:val="00353103"/>
    <w:rsid w:val="0035545C"/>
    <w:rsid w:val="00355714"/>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44D"/>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616F"/>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049"/>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B4C3B"/>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35AD"/>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76E25"/>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3444"/>
    <w:rsid w:val="006F6381"/>
    <w:rsid w:val="006F7186"/>
    <w:rsid w:val="006F7CE6"/>
    <w:rsid w:val="0070136A"/>
    <w:rsid w:val="00703112"/>
    <w:rsid w:val="0070530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1B29"/>
    <w:rsid w:val="007B23B1"/>
    <w:rsid w:val="007B437C"/>
    <w:rsid w:val="007B57C5"/>
    <w:rsid w:val="007B5F88"/>
    <w:rsid w:val="007C37ED"/>
    <w:rsid w:val="007C388F"/>
    <w:rsid w:val="007C4A53"/>
    <w:rsid w:val="007C5582"/>
    <w:rsid w:val="007C5935"/>
    <w:rsid w:val="007C69B5"/>
    <w:rsid w:val="007C6E10"/>
    <w:rsid w:val="007D278F"/>
    <w:rsid w:val="007D44A8"/>
    <w:rsid w:val="007D59EB"/>
    <w:rsid w:val="007D6F72"/>
    <w:rsid w:val="007D76FC"/>
    <w:rsid w:val="007E1A15"/>
    <w:rsid w:val="007E296E"/>
    <w:rsid w:val="007E3481"/>
    <w:rsid w:val="007E3DD4"/>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0C1B"/>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3DCE"/>
    <w:rsid w:val="008A4017"/>
    <w:rsid w:val="008A4A71"/>
    <w:rsid w:val="008A5017"/>
    <w:rsid w:val="008A5BA2"/>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50AA"/>
    <w:rsid w:val="008E6EBA"/>
    <w:rsid w:val="008F22B9"/>
    <w:rsid w:val="008F2C33"/>
    <w:rsid w:val="008F549C"/>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39B9"/>
    <w:rsid w:val="00955166"/>
    <w:rsid w:val="00957744"/>
    <w:rsid w:val="00957B73"/>
    <w:rsid w:val="009614A0"/>
    <w:rsid w:val="00961EF7"/>
    <w:rsid w:val="0096318E"/>
    <w:rsid w:val="00963B1E"/>
    <w:rsid w:val="00965857"/>
    <w:rsid w:val="0097021B"/>
    <w:rsid w:val="0097049A"/>
    <w:rsid w:val="009707BE"/>
    <w:rsid w:val="00970FCE"/>
    <w:rsid w:val="00974920"/>
    <w:rsid w:val="00974937"/>
    <w:rsid w:val="00974C94"/>
    <w:rsid w:val="0097587B"/>
    <w:rsid w:val="0098145B"/>
    <w:rsid w:val="00984A6B"/>
    <w:rsid w:val="00987ECB"/>
    <w:rsid w:val="00992305"/>
    <w:rsid w:val="009930DB"/>
    <w:rsid w:val="0099378A"/>
    <w:rsid w:val="009A210F"/>
    <w:rsid w:val="009A2B5F"/>
    <w:rsid w:val="009A3645"/>
    <w:rsid w:val="009A4574"/>
    <w:rsid w:val="009A50CB"/>
    <w:rsid w:val="009A5874"/>
    <w:rsid w:val="009A602D"/>
    <w:rsid w:val="009A7388"/>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0AA4"/>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C5922"/>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0C02"/>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85467"/>
    <w:rsid w:val="00B90A35"/>
    <w:rsid w:val="00B932CB"/>
    <w:rsid w:val="00B94AE8"/>
    <w:rsid w:val="00B94CF8"/>
    <w:rsid w:val="00B94FAC"/>
    <w:rsid w:val="00B9537F"/>
    <w:rsid w:val="00B95859"/>
    <w:rsid w:val="00BA0DE0"/>
    <w:rsid w:val="00BA12C8"/>
    <w:rsid w:val="00BA1C3F"/>
    <w:rsid w:val="00BA2181"/>
    <w:rsid w:val="00BA4416"/>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2C43"/>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3DB"/>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45DD"/>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01C"/>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7C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26D3C"/>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0E72"/>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0951"/>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3DEE"/>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lt-LT"/>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lt-LT" w:eastAsia="lt-LT"/>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lt-LT" w:eastAsia="lt-LT"/>
    </w:rPr>
  </w:style>
  <w:style w:type="character" w:customStyle="1" w:styleId="CommentTextChar1">
    <w:name w:val="Comment Text Char1"/>
    <w:link w:val="CommentText"/>
    <w:uiPriority w:val="99"/>
    <w:rsid w:val="00DA3A70"/>
    <w:rPr>
      <w:rFonts w:ascii="Calibri" w:eastAsia="Calibri" w:hAnsi="Calibri" w:cs="Times New Roman"/>
      <w:sz w:val="20"/>
      <w:szCs w:val="20"/>
      <w:lang w:val="lt-LT"/>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lt-LT" w:eastAsia="lt-LT"/>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lt-LT"/>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lt-LT" w:eastAsia="lt-LT"/>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lt-LT" w:eastAsia="lt-LT"/>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lt-LT" w:eastAsia="lt-LT"/>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lt-LT"/>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lt-LT" w:eastAsia="lt-LT"/>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lt-LT" w:eastAsia="lt-LT"/>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lt-LT"/>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lt-LT" w:eastAsia="lt-LT"/>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lt-LT" w:eastAsia="lt-LT"/>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D983-5CF3-4306-97CD-025A25F7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6600</Words>
  <Characters>37626</Characters>
  <Application>Microsoft Office Word</Application>
  <DocSecurity>0</DocSecurity>
  <Lines>313</Lines>
  <Paragraphs>88</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21</vt:i4>
      </vt:variant>
    </vt:vector>
  </HeadingPairs>
  <TitlesOfParts>
    <vt:vector size="23" baseType="lpstr">
      <vt:lpstr/>
      <vt:lpstr/>
      <vt:lpstr>    Europos Sąjungos sergančiųjų tuberkulioze priežiūros standartai. 2017 m. atnauji</vt:lpstr>
      <vt:lpstr>        Tuberkuliozės likvidavimo Europos Sąjungoje pažangai užtikrinti būtini aukštesni</vt:lpstr>
      <vt:lpstr>        ESSTPS – gydytojams praktikams ir visuomenės sveikatos srities darbuotojams skir</vt:lpstr>
      <vt:lpstr>    Paprastas naudoti išteklius optimaliam tuberkuliozės diagnozavimui, gydymui ir p</vt:lpstr>
      <vt:lpstr>        Sprendimo parengti ESSTPS loginis pagrindas</vt:lpstr>
      <vt:lpstr>    Daugiau informacijos</vt:lpstr>
      <vt:lpstr>    Tuberkuliozės diagnozavimo standartai</vt:lpstr>
      <vt:lpstr>        Tik ES taikomi reikalavimai</vt:lpstr>
      <vt:lpstr>    Tuberkuliozės gydymo standartai</vt:lpstr>
      <vt:lpstr>        Tik ES taikomi reikalavimai</vt:lpstr>
      <vt:lpstr>        Tik ES taikomi reikalavimai</vt:lpstr>
      <vt:lpstr>        Tik ES taikomi reikalavimai</vt:lpstr>
      <vt:lpstr>    ŽIV infekcijos ir gretutinių ligų prevencijos ir gydymo standartai </vt:lpstr>
      <vt:lpstr>        Tik ES taikomi reikalavimai</vt:lpstr>
      <vt:lpstr>        Tik ES taikomi reikalavimai</vt:lpstr>
      <vt:lpstr>    Visuomenės sveikatos ir tuberkuliozės prevencijos standartai</vt:lpstr>
      <vt:lpstr>        Tik ES taikomi reikalavimai</vt:lpstr>
      <vt:lpstr>        Tik ES taikomi reikalavimai</vt:lpstr>
      <vt:lpstr>        Tik ES taikomi reikalavimai</vt:lpstr>
      <vt:lpstr>        Tik ES taikomi reikalavimai</vt:lpstr>
      <vt:lpstr>    Informacijos šaltiniai</vt:lpstr>
    </vt:vector>
  </TitlesOfParts>
  <Company>CDT</Company>
  <LinksUpToDate>false</LinksUpToDate>
  <CharactersWithSpaces>44138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3</cp:revision>
  <cp:lastPrinted>2018-07-24T13:54:00Z</cp:lastPrinted>
  <dcterms:created xsi:type="dcterms:W3CDTF">2018-07-24T14:16:00Z</dcterms:created>
  <dcterms:modified xsi:type="dcterms:W3CDTF">2018-07-24T14:24:00Z</dcterms:modified>
</cp:coreProperties>
</file>